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382A811E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0C6D19B7" w:rsidR="00E37077" w:rsidRPr="00800D0D" w:rsidRDefault="00800D0D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two new species in the genus </w:t>
            </w:r>
            <w:proofErr w:type="spellStart"/>
            <w:r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Yuavirus</w:t>
            </w:r>
            <w:proofErr w:type="spellEnd"/>
            <w:r>
              <w:rPr>
                <w:rFonts w:ascii="Aptos" w:hAnsi="Aptos" w:cs="Arial"/>
                <w:color w:val="000000" w:themeColor="text1"/>
                <w:sz w:val="20"/>
              </w:rPr>
              <w:t xml:space="preserve"> (class </w:t>
            </w:r>
            <w:r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Caudoviricetes</w:t>
            </w:r>
            <w:r>
              <w:rPr>
                <w:rFonts w:ascii="Aptos" w:hAnsi="Aptos" w:cs="Arial"/>
                <w:color w:val="000000" w:themeColor="text1"/>
                <w:sz w:val="20"/>
              </w:rPr>
              <w:t>)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00634D38" w:rsidR="00E37077" w:rsidRPr="003D3AD1" w:rsidRDefault="003D3AD1" w:rsidP="003D3AD1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2025.082B.</w:t>
            </w:r>
            <w:r w:rsidR="00861EF3">
              <w:rPr>
                <w:rFonts w:ascii="Aptos Narrow" w:hAnsi="Aptos Narrow"/>
                <w:color w:val="000000"/>
                <w:sz w:val="22"/>
                <w:szCs w:val="22"/>
              </w:rPr>
              <w:t>A.v2.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Yuavirus_2ns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3F8B361F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1F22AB37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146DC0C9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7361F0D0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DD7751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3A22DD64" w:rsidR="00DD7751" w:rsidRPr="00CD2C82" w:rsidRDefault="00E16D6B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16D6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Aaryan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655661FF" w:rsidR="00DD7751" w:rsidRPr="00CD2C82" w:rsidRDefault="003A0116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Harshith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671655CB" w:rsidR="00DD7751" w:rsidRPr="00CD2C82" w:rsidRDefault="00DD7751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Stanford University, Division of Infectious Diseases, Stanford, USA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5EE643A8" w:rsidR="00DD7751" w:rsidRPr="00CD2C82" w:rsidRDefault="001C09C6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>
              <w:r w:rsidR="00DD7751" w:rsidRPr="0071296C">
                <w:rPr>
                  <w:rFonts w:ascii="Aptos" w:eastAsia="Helvetica Neue" w:hAnsi="Aptos" w:cs="Helvetica Neue"/>
                  <w:b/>
                  <w:color w:val="000000"/>
                  <w:sz w:val="20"/>
                  <w:szCs w:val="20"/>
                </w:rPr>
                <w:t>aaryanh@stanford.edu</w:t>
              </w:r>
            </w:hyperlink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42BE67FC" w:rsidR="00DD7751" w:rsidRPr="00CD2C82" w:rsidRDefault="00DD7751" w:rsidP="00DD775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X</w:t>
            </w:r>
          </w:p>
        </w:tc>
      </w:tr>
      <w:tr w:rsidR="00DD7751" w14:paraId="25991084" w14:textId="1F2FA2C1" w:rsidTr="00BD6C0B">
        <w:tc>
          <w:tcPr>
            <w:tcW w:w="1838" w:type="dxa"/>
            <w:vAlign w:val="center"/>
          </w:tcPr>
          <w:p w14:paraId="7E9FF899" w14:textId="6F679704" w:rsidR="00DD7751" w:rsidRPr="00CD2C82" w:rsidRDefault="00EE5148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Paul</w:t>
            </w:r>
          </w:p>
        </w:tc>
        <w:tc>
          <w:tcPr>
            <w:tcW w:w="1418" w:type="dxa"/>
            <w:vAlign w:val="center"/>
          </w:tcPr>
          <w:p w14:paraId="065089F1" w14:textId="082C889D" w:rsidR="00DD7751" w:rsidRPr="00CD2C82" w:rsidRDefault="003A0116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Bollyky</w:t>
            </w:r>
            <w:proofErr w:type="spellEnd"/>
          </w:p>
        </w:tc>
        <w:tc>
          <w:tcPr>
            <w:tcW w:w="2835" w:type="dxa"/>
            <w:vAlign w:val="center"/>
          </w:tcPr>
          <w:p w14:paraId="5A10F992" w14:textId="1DA8143A" w:rsidR="00DD7751" w:rsidRPr="00CD2C82" w:rsidRDefault="00DD7751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Stanford University, Division of Infectious Diseases, Stanford, USA</w:t>
            </w:r>
          </w:p>
        </w:tc>
        <w:tc>
          <w:tcPr>
            <w:tcW w:w="2126" w:type="dxa"/>
            <w:vAlign w:val="center"/>
          </w:tcPr>
          <w:p w14:paraId="584336C5" w14:textId="541CBB34" w:rsidR="00DD7751" w:rsidRPr="00CD2C82" w:rsidRDefault="00DD7751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1296C">
              <w:rPr>
                <w:rFonts w:ascii="Aptos" w:eastAsia="Helvetica Neue" w:hAnsi="Aptos" w:cs="Helvetica Neue"/>
                <w:b/>
                <w:color w:val="000000"/>
                <w:sz w:val="20"/>
                <w:szCs w:val="20"/>
              </w:rPr>
              <w:t>pbollyky@stanford.edu</w:t>
            </w:r>
          </w:p>
        </w:tc>
        <w:tc>
          <w:tcPr>
            <w:tcW w:w="1106" w:type="dxa"/>
            <w:vAlign w:val="center"/>
          </w:tcPr>
          <w:p w14:paraId="01837D6A" w14:textId="61C52A51" w:rsidR="00DD7751" w:rsidRPr="00CD2C82" w:rsidRDefault="00DD7751" w:rsidP="00DD775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D7751" w14:paraId="1B668FB3" w14:textId="2C6F00EF" w:rsidTr="00BD6C0B">
        <w:tc>
          <w:tcPr>
            <w:tcW w:w="1838" w:type="dxa"/>
            <w:vAlign w:val="center"/>
          </w:tcPr>
          <w:p w14:paraId="7C1B4F79" w14:textId="12116708" w:rsidR="00DD7751" w:rsidRPr="00CD2C82" w:rsidRDefault="00A73A10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Jessica C.</w:t>
            </w:r>
          </w:p>
        </w:tc>
        <w:tc>
          <w:tcPr>
            <w:tcW w:w="1418" w:type="dxa"/>
            <w:vAlign w:val="center"/>
          </w:tcPr>
          <w:p w14:paraId="5E41446B" w14:textId="2CD8AA4A" w:rsidR="00DD7751" w:rsidRPr="00CD2C82" w:rsidRDefault="003A0116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Sacher</w:t>
            </w:r>
          </w:p>
        </w:tc>
        <w:tc>
          <w:tcPr>
            <w:tcW w:w="2835" w:type="dxa"/>
            <w:vAlign w:val="center"/>
          </w:tcPr>
          <w:p w14:paraId="3EC4C5A6" w14:textId="6D469454" w:rsidR="00DD7751" w:rsidRPr="00CD2C82" w:rsidRDefault="00DD7751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Stanford University, Department of Biochemistry, Stanford, USA</w:t>
            </w:r>
          </w:p>
        </w:tc>
        <w:tc>
          <w:tcPr>
            <w:tcW w:w="2126" w:type="dxa"/>
            <w:vAlign w:val="center"/>
          </w:tcPr>
          <w:p w14:paraId="1DDF5257" w14:textId="47B53D92" w:rsidR="00DD7751" w:rsidRPr="00CD2C82" w:rsidRDefault="001C09C6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>
              <w:r w:rsidR="00DD7751" w:rsidRPr="0071296C">
                <w:rPr>
                  <w:rFonts w:ascii="Aptos" w:eastAsia="Helvetica Neue" w:hAnsi="Aptos" w:cs="Helvetica Neue"/>
                  <w:b/>
                  <w:color w:val="000000"/>
                  <w:sz w:val="20"/>
                  <w:szCs w:val="20"/>
                </w:rPr>
                <w:t>jsacher@stanford.edu</w:t>
              </w:r>
            </w:hyperlink>
          </w:p>
        </w:tc>
        <w:tc>
          <w:tcPr>
            <w:tcW w:w="1106" w:type="dxa"/>
            <w:vAlign w:val="center"/>
          </w:tcPr>
          <w:p w14:paraId="398397DC" w14:textId="63F54794" w:rsidR="00DD7751" w:rsidRPr="00CD2C82" w:rsidRDefault="00DD7751" w:rsidP="00DD775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D7751" w14:paraId="1EC2C947" w14:textId="08659965" w:rsidTr="00BD6C0B">
        <w:tc>
          <w:tcPr>
            <w:tcW w:w="1838" w:type="dxa"/>
            <w:vAlign w:val="center"/>
          </w:tcPr>
          <w:p w14:paraId="48A3936E" w14:textId="1B12CC1C" w:rsidR="00DD7751" w:rsidRPr="00CD2C82" w:rsidRDefault="00422069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Carlo</w:t>
            </w:r>
          </w:p>
        </w:tc>
        <w:tc>
          <w:tcPr>
            <w:tcW w:w="1418" w:type="dxa"/>
            <w:vAlign w:val="center"/>
          </w:tcPr>
          <w:p w14:paraId="2BEC470C" w14:textId="3A598CFD" w:rsidR="00DD7751" w:rsidRPr="00CD2C82" w:rsidRDefault="003A0116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Armijo</w:t>
            </w:r>
          </w:p>
        </w:tc>
        <w:tc>
          <w:tcPr>
            <w:tcW w:w="2835" w:type="dxa"/>
            <w:vAlign w:val="center"/>
          </w:tcPr>
          <w:p w14:paraId="465BAECA" w14:textId="0F07E8FA" w:rsidR="00DD7751" w:rsidRPr="00CD2C82" w:rsidRDefault="00DD7751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Stanford University, Department of Biochemistry, Stanford, USA</w:t>
            </w:r>
          </w:p>
        </w:tc>
        <w:tc>
          <w:tcPr>
            <w:tcW w:w="2126" w:type="dxa"/>
            <w:vAlign w:val="center"/>
          </w:tcPr>
          <w:p w14:paraId="464D4E54" w14:textId="3D81779E" w:rsidR="00DD7751" w:rsidRPr="00CD2C82" w:rsidRDefault="00DD7751" w:rsidP="00DD775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1296C">
              <w:rPr>
                <w:rFonts w:ascii="Aptos" w:eastAsia="Helvetica Neue" w:hAnsi="Aptos" w:cs="Helvetica Neue"/>
                <w:b/>
                <w:color w:val="000000"/>
                <w:sz w:val="20"/>
                <w:szCs w:val="20"/>
              </w:rPr>
              <w:t>carmijo@stanford.edu</w:t>
            </w:r>
          </w:p>
        </w:tc>
        <w:tc>
          <w:tcPr>
            <w:tcW w:w="1106" w:type="dxa"/>
            <w:vAlign w:val="center"/>
          </w:tcPr>
          <w:p w14:paraId="3CBA77FB" w14:textId="2B04C666" w:rsidR="00DD7751" w:rsidRPr="00CD2C82" w:rsidRDefault="00DD7751" w:rsidP="00DD775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382B4BD" w14:textId="7D0FF243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9B62766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2015C3E7" w:rsidR="00D062BE" w:rsidRDefault="00422069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6F18805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4A9C0A28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7FD898FD" w:rsidR="0072682D" w:rsidRPr="000C5189" w:rsidRDefault="0042206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Bacterial Viruses Subcommittee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13F0C15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861EF3" w14:paraId="6E15B934" w14:textId="77777777" w:rsidTr="00861EF3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6FDC0AD7" w14:textId="77777777" w:rsidR="00861EF3" w:rsidRDefault="00861EF3" w:rsidP="00861EF3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6798DAFB" w14:textId="77777777" w:rsidR="00861EF3" w:rsidRPr="001D0007" w:rsidRDefault="00861EF3" w:rsidP="00861EF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22/01/2025</w:t>
            </w:r>
          </w:p>
        </w:tc>
      </w:tr>
    </w:tbl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0783091F" w14:textId="77777777" w:rsidR="00861EF3" w:rsidRDefault="00861EF3" w:rsidP="003A18C5">
      <w:pPr>
        <w:spacing w:after="120"/>
        <w:ind w:right="828"/>
        <w:rPr>
          <w:rFonts w:ascii="Aptos" w:hAnsi="Aptos" w:cs="Arial"/>
          <w:b/>
          <w:sz w:val="20"/>
          <w:szCs w:val="20"/>
        </w:rPr>
      </w:pPr>
    </w:p>
    <w:p w14:paraId="5F074214" w14:textId="77777777" w:rsidR="00861EF3" w:rsidRDefault="00861EF3">
      <w:pPr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br w:type="page"/>
      </w:r>
    </w:p>
    <w:p w14:paraId="6142524C" w14:textId="4901A442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77EB279B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77EB279B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37683C7B" w:rsidR="000A7027" w:rsidRDefault="21F46E1F" w:rsidP="77EB279B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77EB279B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77EB279B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77EB279B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77EB279B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77EB279B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77EB279B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77EB279B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213898D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55BD1E7A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51027BD6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024B3564" w:rsidR="00DD58AA" w:rsidRDefault="001C09C6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2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3F7AAF52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4C40E14" w:rsidR="00953FFE" w:rsidRDefault="005E2BB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334BE8BB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5C6DED09" w:rsidR="00333392" w:rsidRPr="00D634B0" w:rsidRDefault="005E2BBA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634B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Yuavirus</w:t>
            </w:r>
            <w:proofErr w:type="spellEnd"/>
            <w:r w:rsidRPr="00D634B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E2612" w:rsidRPr="00D634B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luminis</w:t>
            </w:r>
            <w:proofErr w:type="spellEnd"/>
          </w:p>
        </w:tc>
        <w:tc>
          <w:tcPr>
            <w:tcW w:w="6379" w:type="dxa"/>
            <w:vAlign w:val="center"/>
          </w:tcPr>
          <w:p w14:paraId="17202B3B" w14:textId="42770F73" w:rsidR="00333392" w:rsidRPr="00D634B0" w:rsidRDefault="00DE261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634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Derived from the name of the bacteriophage</w:t>
            </w:r>
            <w:r w:rsidR="00E40416" w:rsidRPr="00D634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40416" w:rsidRPr="00D634B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Pseudomonas</w:t>
            </w:r>
            <w:r w:rsidR="00E40416" w:rsidRPr="00D634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phage </w:t>
            </w:r>
            <w:proofErr w:type="spellStart"/>
            <w:r w:rsidR="00E40416" w:rsidRPr="00D634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Luminis</w:t>
            </w:r>
            <w:proofErr w:type="spellEnd"/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42584397" w:rsidR="00333392" w:rsidRPr="00D634B0" w:rsidRDefault="00DE2612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634B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Yuavirus</w:t>
            </w:r>
            <w:proofErr w:type="spellEnd"/>
            <w:r w:rsidRPr="00D634B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34B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vanta</w:t>
            </w:r>
            <w:proofErr w:type="spellEnd"/>
          </w:p>
        </w:tc>
        <w:tc>
          <w:tcPr>
            <w:tcW w:w="6379" w:type="dxa"/>
            <w:vAlign w:val="center"/>
          </w:tcPr>
          <w:p w14:paraId="7CC05CA7" w14:textId="050656CD" w:rsidR="00333392" w:rsidRPr="00D634B0" w:rsidRDefault="00DE261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634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Derived from the name of the bacteriophage</w:t>
            </w:r>
            <w:r w:rsidR="00E40416" w:rsidRPr="00D634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40416" w:rsidRPr="00D634B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Pseudomonas</w:t>
            </w:r>
            <w:r w:rsidR="00E40416" w:rsidRPr="00D634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phage </w:t>
            </w:r>
            <w:proofErr w:type="spellStart"/>
            <w:r w:rsidR="00E40416" w:rsidRPr="00D634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vanta</w:t>
            </w:r>
            <w:proofErr w:type="spellEnd"/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1ADF323B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7F96AFF6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30856B01">
        <w:tc>
          <w:tcPr>
            <w:tcW w:w="8926" w:type="dxa"/>
            <w:shd w:val="clear" w:color="auto" w:fill="F2F2F2" w:themeFill="background1" w:themeFillShade="F2"/>
          </w:tcPr>
          <w:p w14:paraId="5831EE03" w14:textId="62A559C5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30856B01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3C0B4C4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Taxonomic </w:t>
            </w:r>
            <w:r w:rsidR="00363A30" w:rsidRPr="3C0B4C49">
              <w:rPr>
                <w:rFonts w:ascii="Aptos" w:hAnsi="Aptos" w:cs="Arial"/>
                <w:i/>
                <w:iCs/>
                <w:sz w:val="20"/>
                <w:szCs w:val="20"/>
              </w:rPr>
              <w:t>rank</w:t>
            </w:r>
            <w:r w:rsidRPr="3C0B4C49">
              <w:rPr>
                <w:rFonts w:ascii="Aptos" w:hAnsi="Aptos" w:cs="Arial"/>
                <w:i/>
                <w:iCs/>
                <w:sz w:val="20"/>
                <w:szCs w:val="20"/>
              </w:rPr>
              <w:t>(s) affected</w:t>
            </w:r>
            <w:r w:rsidRPr="3C0B4C49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F2C48DF" w14:textId="2BDE1179" w:rsidR="51A65F81" w:rsidRDefault="51A65F81" w:rsidP="3C0B4C49">
            <w:pPr>
              <w:spacing w:line="259" w:lineRule="auto"/>
              <w:rPr>
                <w:rFonts w:ascii="Aptos" w:eastAsia="Helvetica Neue" w:hAnsi="Aptos" w:cs="Helvetica Neue"/>
                <w:color w:val="000000" w:themeColor="text1"/>
                <w:sz w:val="20"/>
                <w:szCs w:val="20"/>
              </w:rPr>
            </w:pPr>
            <w:r w:rsidRPr="3C0B4C49">
              <w:rPr>
                <w:rFonts w:ascii="Aptos" w:eastAsia="Helvetica Neue" w:hAnsi="Aptos" w:cs="Helvetica Neue"/>
                <w:color w:val="000000" w:themeColor="text1"/>
                <w:sz w:val="20"/>
                <w:szCs w:val="20"/>
              </w:rPr>
              <w:t>Species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6906C237" w:rsidR="00A77B8E" w:rsidRPr="00013E38" w:rsidRDefault="00013E38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77EB279B">
              <w:rPr>
                <w:rFonts w:ascii="Aptos" w:hAnsi="Aptos" w:cs="Arial"/>
                <w:sz w:val="20"/>
                <w:szCs w:val="20"/>
              </w:rPr>
              <w:lastRenderedPageBreak/>
              <w:t xml:space="preserve">The genus </w:t>
            </w:r>
            <w:proofErr w:type="spellStart"/>
            <w:r w:rsidRPr="77EB279B">
              <w:rPr>
                <w:rFonts w:ascii="Aptos" w:hAnsi="Aptos" w:cs="Arial"/>
                <w:i/>
                <w:iCs/>
                <w:sz w:val="20"/>
                <w:szCs w:val="20"/>
              </w:rPr>
              <w:t>Yuavirus</w:t>
            </w:r>
            <w:proofErr w:type="spellEnd"/>
            <w:r w:rsidRPr="77EB279B">
              <w:rPr>
                <w:rFonts w:ascii="Aptos" w:hAnsi="Aptos" w:cs="Arial"/>
                <w:sz w:val="20"/>
                <w:szCs w:val="20"/>
              </w:rPr>
              <w:t xml:space="preserve"> was established under proposal </w:t>
            </w:r>
            <w:r w:rsidR="00A91D4F" w:rsidRPr="77EB279B">
              <w:rPr>
                <w:rFonts w:ascii="Aptos" w:hAnsi="Aptos" w:cs="Arial"/>
                <w:sz w:val="20"/>
                <w:szCs w:val="20"/>
              </w:rPr>
              <w:t>2012.008a-dB.</w:t>
            </w:r>
            <w:proofErr w:type="gramStart"/>
            <w:r w:rsidR="00A91D4F" w:rsidRPr="77EB279B">
              <w:rPr>
                <w:rFonts w:ascii="Aptos" w:hAnsi="Aptos" w:cs="Arial"/>
                <w:sz w:val="20"/>
                <w:szCs w:val="20"/>
              </w:rPr>
              <w:t>A.v</w:t>
            </w:r>
            <w:proofErr w:type="gramEnd"/>
            <w:r w:rsidR="00A91D4F" w:rsidRPr="77EB279B">
              <w:rPr>
                <w:rFonts w:ascii="Aptos" w:hAnsi="Aptos" w:cs="Arial"/>
                <w:sz w:val="20"/>
                <w:szCs w:val="20"/>
              </w:rPr>
              <w:t xml:space="preserve">3.Yualikevirus. The genus </w:t>
            </w:r>
            <w:r w:rsidR="00B73B60" w:rsidRPr="77EB279B">
              <w:rPr>
                <w:rFonts w:ascii="Aptos" w:hAnsi="Aptos" w:cs="Arial"/>
                <w:sz w:val="20"/>
                <w:szCs w:val="20"/>
              </w:rPr>
              <w:t>currently consists of five species.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7BADE9" w14:textId="01058CDD" w:rsidR="00A77B8E" w:rsidRPr="00B73B60" w:rsidRDefault="00B73B60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77EB279B">
              <w:rPr>
                <w:rFonts w:ascii="Aptos" w:hAnsi="Aptos" w:cs="Arial"/>
                <w:sz w:val="20"/>
                <w:szCs w:val="20"/>
              </w:rPr>
              <w:t xml:space="preserve">Create two new species in the genus </w:t>
            </w:r>
            <w:proofErr w:type="spellStart"/>
            <w:r w:rsidRPr="77EB279B">
              <w:rPr>
                <w:rFonts w:ascii="Aptos" w:hAnsi="Aptos" w:cs="Arial"/>
                <w:i/>
                <w:iCs/>
                <w:sz w:val="20"/>
                <w:szCs w:val="20"/>
              </w:rPr>
              <w:t>Yuavirus</w:t>
            </w:r>
            <w:proofErr w:type="spellEnd"/>
            <w:r w:rsidRPr="77EB279B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34A7845C" w14:textId="0393933A" w:rsidR="00A77B8E" w:rsidRPr="0090760C" w:rsidRDefault="0090760C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30856B01">
              <w:rPr>
                <w:rFonts w:ascii="Aptos" w:hAnsi="Aptos" w:cs="Arial"/>
                <w:sz w:val="20"/>
                <w:szCs w:val="20"/>
              </w:rPr>
              <w:t>VIRIDIC analysis indicates that both phages satisfy the species similarity threshold proposed by the ICTV</w:t>
            </w:r>
            <w:r w:rsidR="4C36665C" w:rsidRPr="30856B01">
              <w:rPr>
                <w:rFonts w:ascii="Aptos" w:hAnsi="Aptos" w:cs="Arial"/>
                <w:sz w:val="20"/>
                <w:szCs w:val="20"/>
              </w:rPr>
              <w:t xml:space="preserve"> Bacterial Viruses Subcommittee</w:t>
            </w:r>
            <w:r w:rsidRPr="30856B01">
              <w:rPr>
                <w:rFonts w:ascii="Aptos" w:hAnsi="Aptos" w:cs="Arial"/>
                <w:sz w:val="20"/>
                <w:szCs w:val="20"/>
              </w:rPr>
              <w:t>. Proteomic and phylogenetic evidence further supports the placement of</w:t>
            </w:r>
            <w:r w:rsidR="79173A53" w:rsidRPr="30856B01">
              <w:rPr>
                <w:rFonts w:ascii="Aptos" w:hAnsi="Aptos" w:cs="Arial"/>
                <w:sz w:val="20"/>
                <w:szCs w:val="20"/>
              </w:rPr>
              <w:t xml:space="preserve"> phages</w:t>
            </w:r>
            <w:r w:rsidRPr="30856B01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30856B01">
              <w:rPr>
                <w:rFonts w:ascii="Aptos" w:hAnsi="Aptos" w:cs="Arial"/>
                <w:sz w:val="20"/>
                <w:szCs w:val="20"/>
              </w:rPr>
              <w:t>Vanta</w:t>
            </w:r>
            <w:proofErr w:type="spellEnd"/>
            <w:r w:rsidRPr="30856B01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Pr="30856B01">
              <w:rPr>
                <w:rFonts w:ascii="Aptos" w:hAnsi="Aptos" w:cs="Arial"/>
                <w:sz w:val="20"/>
                <w:szCs w:val="20"/>
              </w:rPr>
              <w:t>Luminis</w:t>
            </w:r>
            <w:proofErr w:type="spellEnd"/>
            <w:r w:rsidRPr="30856B01">
              <w:rPr>
                <w:rFonts w:ascii="Aptos" w:hAnsi="Aptos" w:cs="Arial"/>
                <w:sz w:val="20"/>
                <w:szCs w:val="20"/>
              </w:rPr>
              <w:t xml:space="preserve"> in the genus </w:t>
            </w:r>
            <w:proofErr w:type="spellStart"/>
            <w:r w:rsidRPr="30856B01">
              <w:rPr>
                <w:rFonts w:ascii="Aptos" w:hAnsi="Aptos" w:cs="Arial"/>
                <w:i/>
                <w:iCs/>
                <w:sz w:val="20"/>
                <w:szCs w:val="20"/>
              </w:rPr>
              <w:t>Yuavirus</w:t>
            </w:r>
            <w:proofErr w:type="spellEnd"/>
            <w:r w:rsidRPr="30856B01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30856B01">
        <w:tc>
          <w:tcPr>
            <w:tcW w:w="8926" w:type="dxa"/>
            <w:shd w:val="clear" w:color="auto" w:fill="F2F2F2" w:themeFill="background1" w:themeFillShade="F2"/>
          </w:tcPr>
          <w:p w14:paraId="00CD2219" w14:textId="373C3851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1C494755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30856B01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33288F4B" w14:textId="77777777" w:rsidR="00703117" w:rsidRPr="00BE4F5A" w:rsidRDefault="00703117" w:rsidP="00703117">
            <w:pPr>
              <w:rPr>
                <w:rFonts w:ascii="Aptos" w:hAnsi="Aptos" w:cs="Arial"/>
                <w:sz w:val="20"/>
                <w:szCs w:val="20"/>
              </w:rPr>
            </w:pPr>
            <w:r w:rsidRPr="30856B01">
              <w:rPr>
                <w:rFonts w:ascii="Aptos" w:hAnsi="Aptos" w:cs="Arial"/>
                <w:i/>
                <w:iCs/>
                <w:sz w:val="20"/>
                <w:szCs w:val="20"/>
              </w:rPr>
              <w:t>Taxonomic rank(s) affected</w:t>
            </w:r>
            <w:r w:rsidRPr="30856B01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68D80A8" w14:textId="729716E1" w:rsidR="68897158" w:rsidRDefault="68897158" w:rsidP="30856B01">
            <w:pPr>
              <w:spacing w:line="259" w:lineRule="auto"/>
            </w:pPr>
            <w:r w:rsidRPr="30856B01">
              <w:rPr>
                <w:rFonts w:ascii="Aptos" w:eastAsia="Helvetica Neue" w:hAnsi="Aptos" w:cs="Helvetica Neue"/>
                <w:color w:val="000000" w:themeColor="text1"/>
                <w:sz w:val="20"/>
                <w:szCs w:val="20"/>
              </w:rPr>
              <w:t>Species</w:t>
            </w:r>
          </w:p>
          <w:p w14:paraId="4F58D132" w14:textId="77777777" w:rsidR="00703117" w:rsidRPr="00BE4F5A" w:rsidRDefault="00703117" w:rsidP="00703117">
            <w:pPr>
              <w:rPr>
                <w:rFonts w:ascii="Aptos" w:hAnsi="Aptos" w:cs="Arial"/>
                <w:sz w:val="20"/>
                <w:szCs w:val="20"/>
              </w:rPr>
            </w:pPr>
          </w:p>
          <w:p w14:paraId="1D5E4A07" w14:textId="77777777" w:rsidR="00703117" w:rsidRPr="00BE4F5A" w:rsidRDefault="00703117" w:rsidP="00703117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454AA05F" w14:textId="77777777" w:rsidR="00703117" w:rsidRPr="00013E38" w:rsidRDefault="00703117" w:rsidP="00703117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Yuavirus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was established under proposal </w:t>
            </w:r>
            <w:r w:rsidRPr="00A91D4F">
              <w:rPr>
                <w:rFonts w:ascii="Aptos" w:hAnsi="Aptos" w:cs="Arial"/>
                <w:sz w:val="20"/>
                <w:szCs w:val="20"/>
              </w:rPr>
              <w:t>2012.008a-dB.</w:t>
            </w:r>
            <w:proofErr w:type="gramStart"/>
            <w:r w:rsidRPr="00A91D4F">
              <w:rPr>
                <w:rFonts w:ascii="Aptos" w:hAnsi="Aptos" w:cs="Arial"/>
                <w:sz w:val="20"/>
                <w:szCs w:val="20"/>
              </w:rPr>
              <w:t>A.v</w:t>
            </w:r>
            <w:proofErr w:type="gramEnd"/>
            <w:r w:rsidRPr="00A91D4F">
              <w:rPr>
                <w:rFonts w:ascii="Aptos" w:hAnsi="Aptos" w:cs="Arial"/>
                <w:sz w:val="20"/>
                <w:szCs w:val="20"/>
              </w:rPr>
              <w:t>3.Yualikevirus</w:t>
            </w:r>
            <w:r>
              <w:rPr>
                <w:rFonts w:ascii="Aptos" w:hAnsi="Aptos" w:cs="Arial"/>
                <w:sz w:val="20"/>
                <w:szCs w:val="20"/>
              </w:rPr>
              <w:t>. The genus currently consists of five species.</w:t>
            </w:r>
          </w:p>
          <w:p w14:paraId="5AF72E55" w14:textId="77777777" w:rsidR="00703117" w:rsidRPr="00BE4F5A" w:rsidRDefault="00703117" w:rsidP="00703117">
            <w:pPr>
              <w:rPr>
                <w:rFonts w:ascii="Aptos" w:hAnsi="Aptos" w:cs="Arial"/>
                <w:sz w:val="20"/>
                <w:szCs w:val="20"/>
              </w:rPr>
            </w:pPr>
          </w:p>
          <w:p w14:paraId="57B95A34" w14:textId="77777777" w:rsidR="00703117" w:rsidRPr="00BE4F5A" w:rsidRDefault="00703117" w:rsidP="00703117">
            <w:pPr>
              <w:rPr>
                <w:rFonts w:ascii="Aptos" w:hAnsi="Aptos" w:cs="Arial"/>
                <w:sz w:val="20"/>
                <w:szCs w:val="20"/>
              </w:rPr>
            </w:pPr>
          </w:p>
          <w:p w14:paraId="7CC6693C" w14:textId="77777777" w:rsidR="00703117" w:rsidRPr="00BE4F5A" w:rsidRDefault="00703117" w:rsidP="00703117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62C015A9" w14:textId="77777777" w:rsidR="00703117" w:rsidRPr="00B73B60" w:rsidRDefault="00703117" w:rsidP="00703117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two new species in the genus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Yuavirus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66F20E4" w14:textId="4C8E57FA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5A503407" w14:textId="786F073B" w:rsidR="00CE237D" w:rsidRPr="00CE237D" w:rsidRDefault="00CE237D" w:rsidP="00CE237D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CE237D">
              <w:rPr>
                <w:rFonts w:ascii="Aptos" w:hAnsi="Aptos" w:cs="Arial"/>
                <w:b/>
                <w:iCs/>
                <w:sz w:val="20"/>
                <w:szCs w:val="20"/>
              </w:rPr>
              <w:t>Species demarcation criteria</w:t>
            </w:r>
            <w:r w:rsidR="00703117">
              <w:rPr>
                <w:rFonts w:ascii="Aptos" w:hAnsi="Aptos" w:cs="Arial"/>
                <w:b/>
                <w:iCs/>
                <w:sz w:val="20"/>
                <w:szCs w:val="20"/>
              </w:rPr>
              <w:t xml:space="preserve">: </w:t>
            </w:r>
            <w:r w:rsidRPr="00CE237D">
              <w:rPr>
                <w:rFonts w:ascii="Aptos" w:hAnsi="Aptos" w:cs="Arial"/>
                <w:iCs/>
                <w:sz w:val="20"/>
                <w:szCs w:val="20"/>
              </w:rPr>
              <w:t xml:space="preserve">Phages are deemed as distinct species if they exhibit ≤95% sequence similarity (&gt;5% sequence dissimilarity) across the length of their genome. </w:t>
            </w:r>
            <w:proofErr w:type="spellStart"/>
            <w:r w:rsidRPr="00CE237D">
              <w:rPr>
                <w:rFonts w:ascii="Aptos" w:hAnsi="Aptos" w:cs="Arial"/>
                <w:iCs/>
                <w:sz w:val="20"/>
                <w:szCs w:val="20"/>
              </w:rPr>
              <w:t>BLASTn</w:t>
            </w:r>
            <w:proofErr w:type="spellEnd"/>
            <w:r w:rsidRPr="00CE237D">
              <w:rPr>
                <w:rFonts w:ascii="Aptos" w:hAnsi="Aptos" w:cs="Arial"/>
                <w:iCs/>
                <w:sz w:val="20"/>
                <w:szCs w:val="20"/>
              </w:rPr>
              <w:t xml:space="preserve"> was initially used to identify viruses belonging to the same genus as the isolated phage, and similarity scores were evaluated using the Virus Intergenomic Distance Calculator (VIRIDIC) [3,5].</w:t>
            </w:r>
          </w:p>
          <w:p w14:paraId="51E8D9BE" w14:textId="77777777" w:rsidR="00CE237D" w:rsidRPr="00CE237D" w:rsidRDefault="00CE237D" w:rsidP="00CE237D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3A869968" w14:textId="70008961" w:rsidR="00CE237D" w:rsidRPr="00703117" w:rsidRDefault="00CE237D" w:rsidP="00CE237D">
            <w:pPr>
              <w:rPr>
                <w:rFonts w:ascii="Aptos" w:hAnsi="Aptos" w:cs="Arial"/>
                <w:b/>
                <w:iCs/>
                <w:sz w:val="20"/>
                <w:szCs w:val="20"/>
              </w:rPr>
            </w:pPr>
            <w:proofErr w:type="gramStart"/>
            <w:r w:rsidRPr="00CE237D">
              <w:rPr>
                <w:rFonts w:ascii="Aptos" w:hAnsi="Aptos" w:cs="Arial"/>
                <w:b/>
                <w:iCs/>
                <w:sz w:val="20"/>
                <w:szCs w:val="20"/>
              </w:rPr>
              <w:t>Genus</w:t>
            </w:r>
            <w:proofErr w:type="gramEnd"/>
            <w:r w:rsidRPr="00CE237D">
              <w:rPr>
                <w:rFonts w:ascii="Aptos" w:hAnsi="Aptos" w:cs="Arial"/>
                <w:b/>
                <w:iCs/>
                <w:sz w:val="20"/>
                <w:szCs w:val="20"/>
              </w:rPr>
              <w:t xml:space="preserve"> demarcation criteria</w:t>
            </w:r>
            <w:r w:rsidR="00703117">
              <w:rPr>
                <w:rFonts w:ascii="Aptos" w:hAnsi="Aptos" w:cs="Arial"/>
                <w:b/>
                <w:iCs/>
                <w:sz w:val="20"/>
                <w:szCs w:val="20"/>
              </w:rPr>
              <w:t xml:space="preserve">: </w:t>
            </w:r>
            <w:r w:rsidR="00703117">
              <w:rPr>
                <w:rFonts w:ascii="Aptos" w:hAnsi="Aptos" w:cs="Arial"/>
                <w:iCs/>
                <w:sz w:val="20"/>
                <w:szCs w:val="20"/>
              </w:rPr>
              <w:t>T</w:t>
            </w:r>
            <w:r w:rsidRPr="00CE237D">
              <w:rPr>
                <w:rFonts w:ascii="Aptos" w:hAnsi="Aptos" w:cs="Arial"/>
                <w:iCs/>
                <w:sz w:val="20"/>
                <w:szCs w:val="20"/>
              </w:rPr>
              <w:t>he Bacterial Viruses Subcommittee has established 70% nucleotide identity of the genome length as the cut-off for genera. Genus-level groupings should always be monophyletic in the signature genes, as tested with a phylogenetic tree [4,6].</w:t>
            </w:r>
          </w:p>
          <w:p w14:paraId="239C9D43" w14:textId="77777777" w:rsidR="00273642" w:rsidRPr="00CE237D" w:rsidRDefault="00273642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16FAFB1C" w14:textId="0F2525C0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07FBC2E1" w14:textId="1A89C146" w:rsidR="00FC2269" w:rsidRDefault="00BF1697" w:rsidP="005054A3">
            <w:pPr>
              <w:rPr>
                <w:rFonts w:ascii="Aptos" w:hAnsi="Aptos" w:cs="Arial"/>
                <w:sz w:val="20"/>
                <w:szCs w:val="20"/>
              </w:rPr>
            </w:pPr>
            <w:r w:rsidRPr="005054A3">
              <w:rPr>
                <w:rFonts w:ascii="Aptos" w:hAnsi="Aptos" w:cs="Arial"/>
                <w:i/>
                <w:sz w:val="20"/>
                <w:szCs w:val="20"/>
              </w:rPr>
              <w:t>Pseudomonas</w:t>
            </w:r>
            <w:r w:rsidRPr="005054A3">
              <w:rPr>
                <w:rFonts w:ascii="Aptos" w:hAnsi="Aptos" w:cs="Arial"/>
                <w:sz w:val="20"/>
                <w:szCs w:val="20"/>
              </w:rPr>
              <w:t xml:space="preserve"> phage </w:t>
            </w:r>
            <w:proofErr w:type="spellStart"/>
            <w:r w:rsidRPr="005054A3">
              <w:rPr>
                <w:rFonts w:ascii="Aptos" w:hAnsi="Aptos" w:cs="Arial"/>
                <w:sz w:val="20"/>
                <w:szCs w:val="20"/>
              </w:rPr>
              <w:t>Vanta</w:t>
            </w:r>
            <w:proofErr w:type="spellEnd"/>
            <w:r w:rsidRPr="005054A3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Pr="005054A3">
              <w:rPr>
                <w:rFonts w:ascii="Aptos" w:hAnsi="Aptos" w:cs="Arial"/>
                <w:sz w:val="20"/>
                <w:szCs w:val="20"/>
              </w:rPr>
              <w:t>Luminis</w:t>
            </w:r>
            <w:proofErr w:type="spellEnd"/>
            <w:r w:rsidRPr="005054A3">
              <w:rPr>
                <w:rFonts w:ascii="Aptos" w:hAnsi="Aptos" w:cs="Arial"/>
                <w:sz w:val="20"/>
                <w:szCs w:val="20"/>
              </w:rPr>
              <w:t xml:space="preserve"> were isolated from processed wastewater samples, courtesy of Stanford University’s </w:t>
            </w:r>
            <w:proofErr w:type="spellStart"/>
            <w:r w:rsidRPr="005054A3">
              <w:rPr>
                <w:rFonts w:ascii="Aptos" w:hAnsi="Aptos" w:cs="Arial"/>
                <w:sz w:val="20"/>
                <w:szCs w:val="20"/>
              </w:rPr>
              <w:t>Codiga</w:t>
            </w:r>
            <w:proofErr w:type="spellEnd"/>
            <w:r w:rsidRPr="005054A3">
              <w:rPr>
                <w:rFonts w:ascii="Aptos" w:hAnsi="Aptos" w:cs="Arial"/>
                <w:sz w:val="20"/>
                <w:szCs w:val="20"/>
              </w:rPr>
              <w:t xml:space="preserve"> Recovery Center. </w:t>
            </w:r>
            <w:r w:rsidR="00DC228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74251" w:rsidRPr="00A74251">
              <w:rPr>
                <w:rFonts w:ascii="Aptos" w:hAnsi="Aptos" w:cs="Arial"/>
                <w:sz w:val="20"/>
                <w:szCs w:val="20"/>
              </w:rPr>
              <w:t>VIRIDIC analysis indicates that both phages satisfy the species similarity threshold proposed by the ICTV</w:t>
            </w:r>
            <w:r w:rsidR="00715099">
              <w:rPr>
                <w:rFonts w:ascii="Aptos" w:hAnsi="Aptos" w:cs="Arial"/>
                <w:sz w:val="20"/>
                <w:szCs w:val="20"/>
              </w:rPr>
              <w:t xml:space="preserve"> (Figure 1)</w:t>
            </w:r>
            <w:r w:rsidR="00A74251" w:rsidRPr="00A74251">
              <w:rPr>
                <w:rFonts w:ascii="Aptos" w:hAnsi="Aptos" w:cs="Arial"/>
                <w:sz w:val="20"/>
                <w:szCs w:val="20"/>
              </w:rPr>
              <w:t>. Proteomic and phylogenetic evidence</w:t>
            </w:r>
            <w:r>
              <w:rPr>
                <w:rFonts w:ascii="Aptos" w:hAnsi="Aptos" w:cs="Arial"/>
                <w:sz w:val="20"/>
                <w:szCs w:val="20"/>
              </w:rPr>
              <w:t xml:space="preserve"> (Figure 2, Figure 3)</w:t>
            </w:r>
            <w:r w:rsidR="00A74251" w:rsidRPr="00A74251">
              <w:rPr>
                <w:rFonts w:ascii="Aptos" w:hAnsi="Aptos" w:cs="Arial"/>
                <w:sz w:val="20"/>
                <w:szCs w:val="20"/>
              </w:rPr>
              <w:t xml:space="preserve"> further supports the placement of </w:t>
            </w:r>
            <w:proofErr w:type="spellStart"/>
            <w:r w:rsidR="00A74251" w:rsidRPr="00A74251">
              <w:rPr>
                <w:rFonts w:ascii="Aptos" w:hAnsi="Aptos" w:cs="Arial"/>
                <w:sz w:val="20"/>
                <w:szCs w:val="20"/>
              </w:rPr>
              <w:t>Vanta</w:t>
            </w:r>
            <w:proofErr w:type="spellEnd"/>
            <w:r w:rsidR="00A74251" w:rsidRPr="00A74251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="00A74251" w:rsidRPr="00A74251">
              <w:rPr>
                <w:rFonts w:ascii="Aptos" w:hAnsi="Aptos" w:cs="Arial"/>
                <w:sz w:val="20"/>
                <w:szCs w:val="20"/>
              </w:rPr>
              <w:t>Luminis</w:t>
            </w:r>
            <w:proofErr w:type="spellEnd"/>
            <w:r w:rsidR="00A74251" w:rsidRPr="00A74251">
              <w:rPr>
                <w:rFonts w:ascii="Aptos" w:hAnsi="Aptos" w:cs="Arial"/>
                <w:sz w:val="20"/>
                <w:szCs w:val="20"/>
              </w:rPr>
              <w:t xml:space="preserve"> in the genus </w:t>
            </w:r>
            <w:proofErr w:type="spellStart"/>
            <w:r w:rsidR="00A74251" w:rsidRPr="00A74251">
              <w:rPr>
                <w:rFonts w:ascii="Aptos" w:hAnsi="Aptos" w:cs="Arial"/>
                <w:i/>
                <w:sz w:val="20"/>
                <w:szCs w:val="20"/>
              </w:rPr>
              <w:t>Yuavirus</w:t>
            </w:r>
            <w:proofErr w:type="spellEnd"/>
            <w:r w:rsidR="00A74251" w:rsidRPr="00A74251">
              <w:rPr>
                <w:rFonts w:ascii="Aptos" w:hAnsi="Aptos" w:cs="Arial"/>
                <w:sz w:val="20"/>
                <w:szCs w:val="20"/>
              </w:rPr>
              <w:t>.</w:t>
            </w:r>
            <w:r w:rsidR="00DC228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054A3" w:rsidRPr="005054A3">
              <w:rPr>
                <w:rFonts w:ascii="Aptos" w:hAnsi="Aptos" w:cs="Arial"/>
                <w:sz w:val="20"/>
                <w:szCs w:val="20"/>
              </w:rPr>
              <w:t xml:space="preserve">Per ICTV standards, the annotated genome of </w:t>
            </w:r>
            <w:r w:rsidR="005054A3" w:rsidRPr="005054A3">
              <w:rPr>
                <w:rFonts w:ascii="Aptos" w:hAnsi="Aptos" w:cs="Arial"/>
                <w:i/>
                <w:sz w:val="20"/>
                <w:szCs w:val="20"/>
              </w:rPr>
              <w:t>Pseudomonas</w:t>
            </w:r>
            <w:r w:rsidR="005054A3" w:rsidRPr="005054A3">
              <w:rPr>
                <w:rFonts w:ascii="Aptos" w:hAnsi="Aptos" w:cs="Arial"/>
                <w:sz w:val="20"/>
                <w:szCs w:val="20"/>
              </w:rPr>
              <w:t xml:space="preserve"> phage</w:t>
            </w:r>
            <w:r w:rsidR="00DC2282">
              <w:rPr>
                <w:rFonts w:ascii="Aptos" w:hAnsi="Aptos" w:cs="Arial"/>
                <w:sz w:val="20"/>
                <w:szCs w:val="20"/>
              </w:rPr>
              <w:t>s</w:t>
            </w:r>
            <w:r w:rsidR="005054A3" w:rsidRPr="005054A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5054A3" w:rsidRPr="005054A3">
              <w:rPr>
                <w:rFonts w:ascii="Aptos" w:hAnsi="Aptos" w:cs="Arial"/>
                <w:sz w:val="20"/>
                <w:szCs w:val="20"/>
              </w:rPr>
              <w:t>Vanta</w:t>
            </w:r>
            <w:proofErr w:type="spellEnd"/>
            <w:r w:rsidR="005054A3" w:rsidRPr="005054A3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="005054A3" w:rsidRPr="005054A3">
              <w:rPr>
                <w:rFonts w:ascii="Aptos" w:hAnsi="Aptos" w:cs="Arial"/>
                <w:sz w:val="20"/>
                <w:szCs w:val="20"/>
              </w:rPr>
              <w:t>Luminis</w:t>
            </w:r>
            <w:proofErr w:type="spellEnd"/>
            <w:r w:rsidR="005054A3" w:rsidRPr="005054A3">
              <w:rPr>
                <w:rFonts w:ascii="Aptos" w:hAnsi="Aptos" w:cs="Arial"/>
                <w:sz w:val="20"/>
                <w:szCs w:val="20"/>
              </w:rPr>
              <w:t xml:space="preserve"> are available for reference in GenBank (PQ628237 and PQ632788).</w:t>
            </w:r>
            <w:r w:rsidR="00A77B8E"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C9852D2" w14:textId="77777777" w:rsidR="00674C1D" w:rsidRDefault="00674C1D" w:rsidP="0067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</w:pPr>
          </w:p>
          <w:p w14:paraId="28D55B04" w14:textId="3ADF1E40" w:rsidR="00674C1D" w:rsidRPr="0071296C" w:rsidRDefault="00674C1D" w:rsidP="00674C1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</w:pP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Anisimova, M., &amp;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Gascuel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, O. (2006). Approximate likelihood-ratio test for branches: A fast, accurate, and powerful alternative. </w:t>
            </w:r>
            <w:r w:rsidRPr="0071296C">
              <w:rPr>
                <w:rFonts w:ascii="Aptos" w:eastAsia="Helvetica Neue" w:hAnsi="Aptos" w:cs="Helvetica Neue"/>
                <w:i/>
                <w:color w:val="000000"/>
                <w:sz w:val="20"/>
                <w:szCs w:val="20"/>
              </w:rPr>
              <w:t>Systematic Biology</w:t>
            </w: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, </w:t>
            </w:r>
            <w:r w:rsidRPr="0071296C">
              <w:rPr>
                <w:rFonts w:ascii="Aptos" w:eastAsia="Helvetica Neue" w:hAnsi="Aptos" w:cs="Helvetica Neue"/>
                <w:i/>
                <w:color w:val="000000"/>
                <w:sz w:val="20"/>
                <w:szCs w:val="20"/>
              </w:rPr>
              <w:t>55</w:t>
            </w: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(4), 539–552. </w:t>
            </w:r>
            <w:hyperlink r:id="rId13">
              <w:r w:rsidRPr="0071296C">
                <w:rPr>
                  <w:rFonts w:ascii="Aptos" w:eastAsia="Helvetica Neue" w:hAnsi="Aptos" w:cs="Helvetica Neue"/>
                  <w:color w:val="1155CC"/>
                  <w:sz w:val="20"/>
                  <w:szCs w:val="20"/>
                  <w:u w:val="single"/>
                </w:rPr>
                <w:t>https://doi.org/10.1080/10635150600755453</w:t>
              </w:r>
            </w:hyperlink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  </w:t>
            </w: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br/>
            </w:r>
          </w:p>
          <w:p w14:paraId="1C116440" w14:textId="77777777" w:rsidR="00674C1D" w:rsidRPr="0071296C" w:rsidRDefault="00674C1D" w:rsidP="00674C1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15"/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</w:pP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Dereeper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 A,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Guignon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 V, Blanc G,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Audic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 S, Buffet S,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Chevenet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 F,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Dufayard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 JF, Guindon S,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Lefort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 V, Lescot M,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Claverie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 JM,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Gascuel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 O. </w:t>
            </w:r>
            <w:hyperlink r:id="rId14">
              <w:r w:rsidRPr="0071296C">
                <w:rPr>
                  <w:rFonts w:ascii="Aptos" w:eastAsia="Helvetica Neue" w:hAnsi="Aptos" w:cs="Helvetica Neue"/>
                  <w:color w:val="0563C1"/>
                  <w:sz w:val="20"/>
                  <w:szCs w:val="20"/>
                  <w:u w:val="single"/>
                </w:rPr>
                <w:t>phylogeny.fr</w:t>
              </w:r>
            </w:hyperlink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: robust phylogenetic analysis for the non-specialist. Nucleic Acids Res. 2008 Jul 1;36(Web Server issue</w:t>
            </w:r>
            <w:proofErr w:type="gram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):W</w:t>
            </w:r>
            <w:proofErr w:type="gram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465-9.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doi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: 10.1093/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nar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/gkn180.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Epub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 2008 Apr 19. PMID: 18424797; PMCID: PMC2447785.</w:t>
            </w: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br/>
            </w:r>
          </w:p>
          <w:p w14:paraId="623F9CC7" w14:textId="77777777" w:rsidR="00674C1D" w:rsidRPr="0071296C" w:rsidRDefault="00674C1D" w:rsidP="00674C1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</w:pP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lastRenderedPageBreak/>
              <w:t>Moraru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, C., Varsani, A., &amp; Kropinski, A. M. (2020). VIRIDIC—A novel tool to calculate the intergenomic similarities of Prokaryote-Infecting viruses. </w:t>
            </w:r>
            <w:r w:rsidRPr="0071296C">
              <w:rPr>
                <w:rFonts w:ascii="Aptos" w:eastAsia="Helvetica Neue" w:hAnsi="Aptos" w:cs="Helvetica Neue"/>
                <w:i/>
                <w:color w:val="000000"/>
                <w:sz w:val="20"/>
                <w:szCs w:val="20"/>
              </w:rPr>
              <w:t>Viruses</w:t>
            </w: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, </w:t>
            </w:r>
            <w:r w:rsidRPr="0071296C">
              <w:rPr>
                <w:rFonts w:ascii="Aptos" w:eastAsia="Helvetica Neue" w:hAnsi="Aptos" w:cs="Helvetica Neue"/>
                <w:i/>
                <w:color w:val="000000"/>
                <w:sz w:val="20"/>
                <w:szCs w:val="20"/>
              </w:rPr>
              <w:t>12</w:t>
            </w: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(11), 1268. </w:t>
            </w:r>
            <w:hyperlink r:id="rId15">
              <w:r w:rsidRPr="0071296C">
                <w:rPr>
                  <w:rFonts w:ascii="Aptos" w:eastAsia="Helvetica Neue" w:hAnsi="Aptos" w:cs="Helvetica Neue"/>
                  <w:color w:val="0563C1"/>
                  <w:sz w:val="20"/>
                  <w:szCs w:val="20"/>
                  <w:u w:val="single"/>
                </w:rPr>
                <w:t>https://doi.org/10.3390/v12111268</w:t>
              </w:r>
            </w:hyperlink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br/>
            </w:r>
          </w:p>
          <w:p w14:paraId="3D6E5A9B" w14:textId="77777777" w:rsidR="00674C1D" w:rsidRPr="0071296C" w:rsidRDefault="00674C1D" w:rsidP="00674C1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</w:pP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Nishimura, Y., Yoshida, T.,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Kuronishi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, M., Uehara, H., Ogata, H., &amp;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Goto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, S. (2017).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ViPTree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: the viral proteomic tree server. </w:t>
            </w:r>
            <w:r w:rsidRPr="0071296C">
              <w:rPr>
                <w:rFonts w:ascii="Aptos" w:eastAsia="Helvetica Neue" w:hAnsi="Aptos" w:cs="Helvetica Neue"/>
                <w:i/>
                <w:color w:val="000000"/>
                <w:sz w:val="20"/>
                <w:szCs w:val="20"/>
              </w:rPr>
              <w:t>Bioinformatics (Oxford, England)</w:t>
            </w: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, </w:t>
            </w:r>
            <w:r w:rsidRPr="0071296C">
              <w:rPr>
                <w:rFonts w:ascii="Aptos" w:eastAsia="Helvetica Neue" w:hAnsi="Aptos" w:cs="Helvetica Neue"/>
                <w:i/>
                <w:color w:val="000000"/>
                <w:sz w:val="20"/>
                <w:szCs w:val="20"/>
              </w:rPr>
              <w:t>33</w:t>
            </w: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(15), 2379–2380. </w:t>
            </w:r>
            <w:hyperlink r:id="rId16">
              <w:r w:rsidRPr="0071296C">
                <w:rPr>
                  <w:rFonts w:ascii="Aptos" w:eastAsia="Helvetica Neue" w:hAnsi="Aptos" w:cs="Helvetica Neue"/>
                  <w:color w:val="0563C1"/>
                  <w:sz w:val="20"/>
                  <w:szCs w:val="20"/>
                  <w:u w:val="single"/>
                </w:rPr>
                <w:t>https://doi.org/10.1093/bioinformatics/btx157</w:t>
              </w:r>
            </w:hyperlink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br/>
            </w:r>
          </w:p>
          <w:p w14:paraId="4D96BDC1" w14:textId="77777777" w:rsidR="00674C1D" w:rsidRPr="0071296C" w:rsidRDefault="00674C1D" w:rsidP="00674C1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</w:pP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Sayers, E. W., Bolton, E. E., Brister, J. R.,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Canese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, K., Chan, J., Comeau, D. C., Connor, R., Funk, K., Kelly, C., Kim, S.,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Madej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, T.,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Marchler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-Bauer, A.,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Lanczycki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, C., Lathrop, S., Lu, Z.,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Thibaud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-Nissen, F., Murphy, T., Phan, L., </w:t>
            </w:r>
            <w:proofErr w:type="spellStart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>Skripchenko</w:t>
            </w:r>
            <w:proofErr w:type="spellEnd"/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, Y., . . . Sherry, S. T. (2021). Database resources of the national center for biotechnology information. </w:t>
            </w:r>
            <w:r w:rsidRPr="0071296C">
              <w:rPr>
                <w:rFonts w:ascii="Aptos" w:eastAsia="Helvetica Neue" w:hAnsi="Aptos" w:cs="Helvetica Neue"/>
                <w:i/>
                <w:color w:val="000000"/>
                <w:sz w:val="20"/>
                <w:szCs w:val="20"/>
              </w:rPr>
              <w:t>Nucleic Acids Research</w:t>
            </w: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, </w:t>
            </w:r>
            <w:r w:rsidRPr="0071296C">
              <w:rPr>
                <w:rFonts w:ascii="Aptos" w:eastAsia="Helvetica Neue" w:hAnsi="Aptos" w:cs="Helvetica Neue"/>
                <w:i/>
                <w:color w:val="000000"/>
                <w:sz w:val="20"/>
                <w:szCs w:val="20"/>
              </w:rPr>
              <w:t>50</w:t>
            </w: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(D1), D20–D26. </w:t>
            </w:r>
            <w:hyperlink r:id="rId17">
              <w:r w:rsidRPr="0071296C">
                <w:rPr>
                  <w:rFonts w:ascii="Aptos" w:eastAsia="Helvetica Neue" w:hAnsi="Aptos" w:cs="Helvetica Neue"/>
                  <w:color w:val="0563C1"/>
                  <w:sz w:val="20"/>
                  <w:szCs w:val="20"/>
                  <w:u w:val="single"/>
                </w:rPr>
                <w:t>https://doi.org/10.1093/nar/gkab1112</w:t>
              </w:r>
            </w:hyperlink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br/>
            </w:r>
          </w:p>
          <w:p w14:paraId="2AFA7FF6" w14:textId="77777777" w:rsidR="00674C1D" w:rsidRPr="0071296C" w:rsidRDefault="00674C1D" w:rsidP="00674C1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</w:pP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Turner, D., Kropinski, A. M., &amp; Adriaenssens, E. M. (2021). A Roadmap for Genome-Based </w:t>
            </w:r>
          </w:p>
          <w:p w14:paraId="670BDAF4" w14:textId="77777777" w:rsidR="00674C1D" w:rsidRPr="0071296C" w:rsidRDefault="00674C1D" w:rsidP="0067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</w:pP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Phage Taxonomy. </w:t>
            </w:r>
            <w:r w:rsidRPr="0071296C">
              <w:rPr>
                <w:rFonts w:ascii="Aptos" w:eastAsia="Helvetica Neue" w:hAnsi="Aptos" w:cs="Helvetica Neue"/>
                <w:i/>
                <w:color w:val="000000"/>
                <w:sz w:val="20"/>
                <w:szCs w:val="20"/>
              </w:rPr>
              <w:t>Viruses</w:t>
            </w: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, </w:t>
            </w:r>
            <w:r w:rsidRPr="0071296C">
              <w:rPr>
                <w:rFonts w:ascii="Aptos" w:eastAsia="Helvetica Neue" w:hAnsi="Aptos" w:cs="Helvetica Neue"/>
                <w:i/>
                <w:color w:val="000000"/>
                <w:sz w:val="20"/>
                <w:szCs w:val="20"/>
              </w:rPr>
              <w:t>13</w:t>
            </w:r>
            <w:r w:rsidRPr="0071296C">
              <w:rPr>
                <w:rFonts w:ascii="Aptos" w:eastAsia="Helvetica Neue" w:hAnsi="Aptos" w:cs="Helvetica Neue"/>
                <w:color w:val="000000"/>
                <w:sz w:val="20"/>
                <w:szCs w:val="20"/>
              </w:rPr>
              <w:t xml:space="preserve">(3), 506. </w:t>
            </w:r>
            <w:hyperlink r:id="rId18">
              <w:r w:rsidRPr="0071296C">
                <w:rPr>
                  <w:rFonts w:ascii="Aptos" w:eastAsia="Helvetica Neue" w:hAnsi="Aptos" w:cs="Helvetica Neue"/>
                  <w:color w:val="0563C1"/>
                  <w:sz w:val="20"/>
                  <w:szCs w:val="20"/>
                  <w:u w:val="single"/>
                </w:rPr>
                <w:t>https://doi.org/10.3390/v13030506</w:t>
              </w:r>
            </w:hyperlink>
          </w:p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41820D33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7CB711F4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1641FEE3" w14:textId="77777777" w:rsidR="00DA5DF2" w:rsidRPr="0071296C" w:rsidRDefault="00DA5DF2" w:rsidP="00DA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Aptos" w:eastAsia="Helvetica Neue" w:hAnsi="Aptos" w:cs="Helvetica Neue"/>
          <w:color w:val="000000"/>
        </w:rPr>
      </w:pPr>
    </w:p>
    <w:p w14:paraId="7CDBF64B" w14:textId="77777777" w:rsidR="00DA5DF2" w:rsidRPr="0071296C" w:rsidRDefault="00DA5DF2" w:rsidP="00DA5D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  <w:r w:rsidRPr="0071296C">
        <w:rPr>
          <w:rFonts w:ascii="Aptos" w:hAnsi="Aptos"/>
          <w:noProof/>
        </w:rPr>
        <w:drawing>
          <wp:anchor distT="152400" distB="152400" distL="152400" distR="152400" simplePos="0" relativeHeight="251659264" behindDoc="0" locked="0" layoutInCell="1" hidden="0" allowOverlap="1" wp14:anchorId="2A76C66F" wp14:editId="29A75962">
            <wp:simplePos x="0" y="0"/>
            <wp:positionH relativeFrom="column">
              <wp:posOffset>-314953</wp:posOffset>
            </wp:positionH>
            <wp:positionV relativeFrom="paragraph">
              <wp:posOffset>177800</wp:posOffset>
            </wp:positionV>
            <wp:extent cx="6231250" cy="2908300"/>
            <wp:effectExtent l="0" t="0" r="0" b="0"/>
            <wp:wrapSquare wrapText="bothSides" distT="152400" distB="152400" distL="152400" distR="152400"/>
            <wp:docPr id="3" name="image4.png" descr="larger_size_grouped_VIRIDI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arger_size_grouped_VIRIDIC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1250" cy="290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84A56B" w14:textId="77777777" w:rsidR="00DA5DF2" w:rsidRPr="0071296C" w:rsidRDefault="00DA5DF2" w:rsidP="00DA5D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  <w:r w:rsidRPr="0071296C">
        <w:rPr>
          <w:rFonts w:ascii="Aptos" w:eastAsia="Helvetica Neue" w:hAnsi="Aptos" w:cs="Helvetica Neue"/>
          <w:b/>
          <w:color w:val="000000"/>
          <w:sz w:val="22"/>
          <w:szCs w:val="22"/>
        </w:rPr>
        <w:t>Figure 1 (VIRIDIC Heatmap):</w:t>
      </w:r>
      <w:r w:rsidRPr="0071296C">
        <w:rPr>
          <w:rFonts w:ascii="Aptos" w:eastAsia="Helvetica Neue" w:hAnsi="Aptos" w:cs="Helvetica Neue"/>
          <w:b/>
          <w:i/>
          <w:color w:val="000000"/>
          <w:sz w:val="22"/>
          <w:szCs w:val="22"/>
        </w:rPr>
        <w:t xml:space="preserve"> </w:t>
      </w:r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>Cells in gray denote reference species, whereas red boundaries identify the proposed phages. All similarity scores were evaluated using VIRIDIC [3]. For clarity, raw data was expressed to three significant digits and reformatted using Google Sheets.</w:t>
      </w:r>
    </w:p>
    <w:p w14:paraId="04CAAB41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6E18849F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3DA4C7D1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759260BC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0B95F4E6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12E0E4EA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58BA91D0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0878CA3C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1CF301F7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319F33FA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4399D017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7ED0ED20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3025DE9C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37D9D56C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3ADD6667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5AAE52E9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6CAF9826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  <w:r w:rsidRPr="0071296C">
        <w:rPr>
          <w:rFonts w:ascii="Aptos" w:hAnsi="Aptos"/>
          <w:noProof/>
        </w:rPr>
        <w:drawing>
          <wp:anchor distT="152400" distB="152400" distL="152400" distR="152400" simplePos="0" relativeHeight="251660288" behindDoc="0" locked="0" layoutInCell="1" hidden="0" allowOverlap="1" wp14:anchorId="141CBBE7" wp14:editId="2D614258">
            <wp:simplePos x="0" y="0"/>
            <wp:positionH relativeFrom="column">
              <wp:posOffset>-357821</wp:posOffset>
            </wp:positionH>
            <wp:positionV relativeFrom="paragraph">
              <wp:posOffset>330200</wp:posOffset>
            </wp:positionV>
            <wp:extent cx="5922646" cy="1907876"/>
            <wp:effectExtent l="0" t="0" r="0" b="0"/>
            <wp:wrapSquare wrapText="bothSides" distT="152400" distB="152400" distL="152400" distR="152400"/>
            <wp:docPr id="5" name="image2.png" descr="GROUPED_PHYLO_TRE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ROUPED_PHYLO_TREE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646" cy="19078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6CCC0A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13DC5435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</w:p>
    <w:p w14:paraId="06972E0E" w14:textId="04FB3B91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</w:rPr>
      </w:pPr>
      <w:r w:rsidRPr="0071296C">
        <w:rPr>
          <w:rFonts w:ascii="Aptos" w:eastAsia="Helvetica Neue" w:hAnsi="Aptos" w:cs="Helvetica Neue"/>
          <w:b/>
          <w:color w:val="000000"/>
          <w:sz w:val="22"/>
          <w:szCs w:val="22"/>
        </w:rPr>
        <w:t xml:space="preserve">Figure 2: </w:t>
      </w:r>
      <w:r w:rsidR="00890301">
        <w:rPr>
          <w:rFonts w:ascii="Aptos" w:eastAsia="Helvetica Neue" w:hAnsi="Aptos" w:cs="Helvetica Neue"/>
          <w:color w:val="000000"/>
          <w:sz w:val="22"/>
          <w:szCs w:val="22"/>
        </w:rPr>
        <w:t xml:space="preserve">TBLASTX distance tree </w:t>
      </w:r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 xml:space="preserve">constructed using </w:t>
      </w:r>
      <w:proofErr w:type="spellStart"/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>VIPTree</w:t>
      </w:r>
      <w:proofErr w:type="spellEnd"/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 xml:space="preserve"> [4]. Branch lengths are linearly proportional to distance, and </w:t>
      </w:r>
      <w:r w:rsidRPr="0071296C">
        <w:rPr>
          <w:rFonts w:ascii="Aptos" w:eastAsia="Helvetica Neue" w:hAnsi="Aptos" w:cs="Helvetica Neue"/>
          <w:i/>
          <w:color w:val="000000"/>
          <w:sz w:val="22"/>
          <w:szCs w:val="22"/>
        </w:rPr>
        <w:t xml:space="preserve">Xanthomonas </w:t>
      </w:r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>phage Xp12 is used for phyletic contrast. Phages of interest are identified with red stars</w:t>
      </w:r>
      <w:r w:rsidRPr="0071296C">
        <w:rPr>
          <w:rFonts w:ascii="Aptos" w:hAnsi="Aptos"/>
          <w:color w:val="000000"/>
        </w:rPr>
        <w:t>.</w:t>
      </w:r>
    </w:p>
    <w:p w14:paraId="70CE766C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3BA1F4F0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4F3E5DA6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  <w:r w:rsidRPr="0071296C">
        <w:rPr>
          <w:rFonts w:ascii="Aptos" w:hAnsi="Aptos"/>
          <w:noProof/>
        </w:rPr>
        <w:drawing>
          <wp:anchor distT="152400" distB="152400" distL="152400" distR="152400" simplePos="0" relativeHeight="251661312" behindDoc="0" locked="0" layoutInCell="1" hidden="0" allowOverlap="1" wp14:anchorId="073AF101" wp14:editId="7B3C6E54">
            <wp:simplePos x="0" y="0"/>
            <wp:positionH relativeFrom="column">
              <wp:posOffset>477083</wp:posOffset>
            </wp:positionH>
            <wp:positionV relativeFrom="paragraph">
              <wp:posOffset>174413</wp:posOffset>
            </wp:positionV>
            <wp:extent cx="4955760" cy="1805209"/>
            <wp:effectExtent l="0" t="0" r="0" b="0"/>
            <wp:wrapSquare wrapText="bothSides" distT="152400" distB="152400" distL="152400" distR="152400"/>
            <wp:docPr id="4" name="image1.png" descr="MUSCLE_tre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USCLE_tree.png"/>
                    <pic:cNvPicPr preferRelativeResize="0"/>
                  </pic:nvPicPr>
                  <pic:blipFill>
                    <a:blip r:embed="rId21"/>
                    <a:srcRect r="16325"/>
                    <a:stretch>
                      <a:fillRect/>
                    </a:stretch>
                  </pic:blipFill>
                  <pic:spPr>
                    <a:xfrm>
                      <a:off x="0" y="0"/>
                      <a:ext cx="4955760" cy="1805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9B8791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 xml:space="preserve"> </w:t>
      </w:r>
    </w:p>
    <w:p w14:paraId="37AC8C7C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71963D79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2BC12F4A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2D3FE5C1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075DD59D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35D899DD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5193851B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23664423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2550B8B3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24CA7788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06586158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079B24A5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65D97FD7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640A5A42" w14:textId="77777777" w:rsidR="00DA5DF2" w:rsidRPr="0071296C" w:rsidRDefault="00DA5DF2" w:rsidP="00DA5DF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Helvetica Neue" w:hAnsi="Aptos" w:cs="Helvetica Neue"/>
          <w:color w:val="000000"/>
          <w:sz w:val="22"/>
          <w:szCs w:val="22"/>
        </w:rPr>
      </w:pPr>
    </w:p>
    <w:p w14:paraId="5556E8C1" w14:textId="13C8D9AB" w:rsidR="00A174CC" w:rsidRPr="00F110F7" w:rsidRDefault="00DA5DF2" w:rsidP="00DA5DF2">
      <w:pPr>
        <w:rPr>
          <w:rFonts w:ascii="Aptos" w:hAnsi="Aptos"/>
          <w:color w:val="0070C0"/>
        </w:rPr>
      </w:pPr>
      <w:r w:rsidRPr="0071296C">
        <w:rPr>
          <w:rFonts w:ascii="Aptos" w:eastAsia="Helvetica Neue" w:hAnsi="Aptos" w:cs="Helvetica Neue"/>
          <w:b/>
          <w:color w:val="000000"/>
          <w:sz w:val="22"/>
          <w:szCs w:val="22"/>
        </w:rPr>
        <w:t>Figure 3</w:t>
      </w:r>
      <w:r w:rsidR="00BF1697">
        <w:rPr>
          <w:rFonts w:ascii="Aptos" w:eastAsia="Helvetica Neue" w:hAnsi="Aptos" w:cs="Helvetica Neue"/>
          <w:b/>
          <w:color w:val="000000"/>
          <w:sz w:val="22"/>
          <w:szCs w:val="22"/>
        </w:rPr>
        <w:t>:</w:t>
      </w:r>
      <w:r w:rsidRPr="0071296C">
        <w:rPr>
          <w:rFonts w:ascii="Aptos" w:eastAsia="Helvetica Neue" w:hAnsi="Aptos" w:cs="Helvetica Neue"/>
          <w:b/>
          <w:color w:val="000000"/>
          <w:sz w:val="22"/>
          <w:szCs w:val="22"/>
        </w:rPr>
        <w:t xml:space="preserve"> </w:t>
      </w:r>
      <w:r w:rsidR="00BF1697">
        <w:rPr>
          <w:rFonts w:ascii="Aptos" w:eastAsia="Helvetica Neue" w:hAnsi="Aptos" w:cs="Helvetica Neue"/>
          <w:color w:val="000000"/>
          <w:sz w:val="22"/>
          <w:szCs w:val="22"/>
        </w:rPr>
        <w:t>Maximum likelihood phylogenetic</w:t>
      </w:r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 xml:space="preserve"> tree generated using Phylogeny FR (obscured support value is 0.79) [2]. Alignments were automatically performed using MUSCLE, based on amino acid identity of the large subunit of the </w:t>
      </w:r>
      <w:proofErr w:type="spellStart"/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>terminase</w:t>
      </w:r>
      <w:proofErr w:type="spellEnd"/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 xml:space="preserve"> protein. Phylogeny was resolved using </w:t>
      </w:r>
      <w:proofErr w:type="spellStart"/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>PhyML</w:t>
      </w:r>
      <w:proofErr w:type="spellEnd"/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 xml:space="preserve"> and </w:t>
      </w:r>
      <w:r w:rsidRPr="0071296C">
        <w:rPr>
          <w:rFonts w:ascii="Aptos" w:eastAsia="Helvetica Neue" w:hAnsi="Aptos" w:cs="Helvetica Neue"/>
          <w:color w:val="000000"/>
          <w:sz w:val="22"/>
          <w:szCs w:val="22"/>
        </w:rPr>
        <w:lastRenderedPageBreak/>
        <w:t xml:space="preserve">support values were evaluated using default </w:t>
      </w:r>
      <w:proofErr w:type="spellStart"/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>aLRT</w:t>
      </w:r>
      <w:proofErr w:type="spellEnd"/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 xml:space="preserve"> parameters [1]. Phages of interest are identified with red stars, and </w:t>
      </w:r>
      <w:r w:rsidRPr="0071296C">
        <w:rPr>
          <w:rFonts w:ascii="Aptos" w:eastAsia="Helvetica Neue" w:hAnsi="Aptos" w:cs="Helvetica Neue"/>
          <w:i/>
          <w:color w:val="000000"/>
          <w:sz w:val="22"/>
          <w:szCs w:val="22"/>
        </w:rPr>
        <w:t xml:space="preserve">Xanthomonas </w:t>
      </w:r>
      <w:r w:rsidRPr="0071296C">
        <w:rPr>
          <w:rFonts w:ascii="Aptos" w:eastAsia="Helvetica Neue" w:hAnsi="Aptos" w:cs="Helvetica Neue"/>
          <w:color w:val="000000"/>
          <w:sz w:val="22"/>
          <w:szCs w:val="22"/>
        </w:rPr>
        <w:t>phage Xp12 is used for phyletic contrast</w:t>
      </w:r>
    </w:p>
    <w:sectPr w:rsidR="00A174CC" w:rsidRPr="00F110F7" w:rsidSect="00A82FBB">
      <w:headerReference w:type="default" r:id="rId22"/>
      <w:footerReference w:type="default" r:id="rId23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4D6A" w14:textId="77777777" w:rsidR="001C09C6" w:rsidRDefault="001C09C6">
      <w:r>
        <w:separator/>
      </w:r>
    </w:p>
  </w:endnote>
  <w:endnote w:type="continuationSeparator" w:id="0">
    <w:p w14:paraId="31FAD77E" w14:textId="77777777" w:rsidR="001C09C6" w:rsidRDefault="001C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3C6E" w14:textId="77777777" w:rsidR="001C09C6" w:rsidRDefault="001C09C6">
      <w:r>
        <w:separator/>
      </w:r>
    </w:p>
  </w:footnote>
  <w:footnote w:type="continuationSeparator" w:id="0">
    <w:p w14:paraId="058706A2" w14:textId="77777777" w:rsidR="001C09C6" w:rsidRDefault="001C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59761A"/>
    <w:multiLevelType w:val="multilevel"/>
    <w:tmpl w:val="0FBE511E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47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7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471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2318"/>
    <w:rsid w:val="00013E38"/>
    <w:rsid w:val="00017BF9"/>
    <w:rsid w:val="00023385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7C72"/>
    <w:rsid w:val="0013113D"/>
    <w:rsid w:val="001322FC"/>
    <w:rsid w:val="001329B8"/>
    <w:rsid w:val="00171083"/>
    <w:rsid w:val="00172351"/>
    <w:rsid w:val="001C09C6"/>
    <w:rsid w:val="001D0007"/>
    <w:rsid w:val="001D3E3E"/>
    <w:rsid w:val="00220A26"/>
    <w:rsid w:val="002238CF"/>
    <w:rsid w:val="002312CE"/>
    <w:rsid w:val="0023149A"/>
    <w:rsid w:val="0023696B"/>
    <w:rsid w:val="0024086E"/>
    <w:rsid w:val="0025498B"/>
    <w:rsid w:val="00273642"/>
    <w:rsid w:val="00296DA3"/>
    <w:rsid w:val="002A5A83"/>
    <w:rsid w:val="002D4340"/>
    <w:rsid w:val="00327E73"/>
    <w:rsid w:val="00333392"/>
    <w:rsid w:val="00355CE0"/>
    <w:rsid w:val="00363A30"/>
    <w:rsid w:val="0037243A"/>
    <w:rsid w:val="00382FE8"/>
    <w:rsid w:val="00383BBF"/>
    <w:rsid w:val="0038593F"/>
    <w:rsid w:val="003A0116"/>
    <w:rsid w:val="003A166F"/>
    <w:rsid w:val="003A18C5"/>
    <w:rsid w:val="003A5ED7"/>
    <w:rsid w:val="003B0883"/>
    <w:rsid w:val="003B3832"/>
    <w:rsid w:val="003C5428"/>
    <w:rsid w:val="003D3AD1"/>
    <w:rsid w:val="003F2A97"/>
    <w:rsid w:val="00422069"/>
    <w:rsid w:val="0043110C"/>
    <w:rsid w:val="00437970"/>
    <w:rsid w:val="00471256"/>
    <w:rsid w:val="004A43B4"/>
    <w:rsid w:val="004F2F1E"/>
    <w:rsid w:val="004F3196"/>
    <w:rsid w:val="005054A3"/>
    <w:rsid w:val="00521E54"/>
    <w:rsid w:val="00536426"/>
    <w:rsid w:val="00543F86"/>
    <w:rsid w:val="0055461D"/>
    <w:rsid w:val="0058465A"/>
    <w:rsid w:val="00590DF3"/>
    <w:rsid w:val="005A54C3"/>
    <w:rsid w:val="005B4C7D"/>
    <w:rsid w:val="005E2BBA"/>
    <w:rsid w:val="006043FB"/>
    <w:rsid w:val="00607227"/>
    <w:rsid w:val="006077E1"/>
    <w:rsid w:val="006109F7"/>
    <w:rsid w:val="00647814"/>
    <w:rsid w:val="00674C1D"/>
    <w:rsid w:val="0067795B"/>
    <w:rsid w:val="00683D0C"/>
    <w:rsid w:val="0069192D"/>
    <w:rsid w:val="006B7AB8"/>
    <w:rsid w:val="006C0F51"/>
    <w:rsid w:val="006D18F6"/>
    <w:rsid w:val="006D428E"/>
    <w:rsid w:val="00703117"/>
    <w:rsid w:val="00715099"/>
    <w:rsid w:val="00723577"/>
    <w:rsid w:val="0072682D"/>
    <w:rsid w:val="0073155D"/>
    <w:rsid w:val="00736440"/>
    <w:rsid w:val="00737875"/>
    <w:rsid w:val="00740A3F"/>
    <w:rsid w:val="00741880"/>
    <w:rsid w:val="007B0F70"/>
    <w:rsid w:val="007B6511"/>
    <w:rsid w:val="007E0EF5"/>
    <w:rsid w:val="007E667B"/>
    <w:rsid w:val="00800D0D"/>
    <w:rsid w:val="00822B3A"/>
    <w:rsid w:val="00824208"/>
    <w:rsid w:val="008308A0"/>
    <w:rsid w:val="00852D43"/>
    <w:rsid w:val="00861EF3"/>
    <w:rsid w:val="00865726"/>
    <w:rsid w:val="008815EE"/>
    <w:rsid w:val="00883A5C"/>
    <w:rsid w:val="00890301"/>
    <w:rsid w:val="008A22E9"/>
    <w:rsid w:val="008B43B1"/>
    <w:rsid w:val="008F51E2"/>
    <w:rsid w:val="00901EBC"/>
    <w:rsid w:val="00903048"/>
    <w:rsid w:val="0090760C"/>
    <w:rsid w:val="009078FF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F7856"/>
    <w:rsid w:val="00A10BA1"/>
    <w:rsid w:val="00A174CC"/>
    <w:rsid w:val="00A2357C"/>
    <w:rsid w:val="00A443CA"/>
    <w:rsid w:val="00A73A10"/>
    <w:rsid w:val="00A74251"/>
    <w:rsid w:val="00A77B8E"/>
    <w:rsid w:val="00A82FBB"/>
    <w:rsid w:val="00A91D4F"/>
    <w:rsid w:val="00AA4711"/>
    <w:rsid w:val="00AD201A"/>
    <w:rsid w:val="00AD2884"/>
    <w:rsid w:val="00AD5A3A"/>
    <w:rsid w:val="00AD759B"/>
    <w:rsid w:val="00AE0C64"/>
    <w:rsid w:val="00AE2E79"/>
    <w:rsid w:val="00AE528C"/>
    <w:rsid w:val="00AF4998"/>
    <w:rsid w:val="00B0108E"/>
    <w:rsid w:val="00B03B7F"/>
    <w:rsid w:val="00B1187F"/>
    <w:rsid w:val="00B35CC8"/>
    <w:rsid w:val="00B47589"/>
    <w:rsid w:val="00B73B60"/>
    <w:rsid w:val="00B80910"/>
    <w:rsid w:val="00BC639F"/>
    <w:rsid w:val="00BD6C0B"/>
    <w:rsid w:val="00BD7967"/>
    <w:rsid w:val="00BE4F5A"/>
    <w:rsid w:val="00BF1697"/>
    <w:rsid w:val="00C55633"/>
    <w:rsid w:val="00C8775F"/>
    <w:rsid w:val="00C95FB7"/>
    <w:rsid w:val="00CD2C82"/>
    <w:rsid w:val="00CE237D"/>
    <w:rsid w:val="00CF59EA"/>
    <w:rsid w:val="00D04287"/>
    <w:rsid w:val="00D062BE"/>
    <w:rsid w:val="00D10857"/>
    <w:rsid w:val="00D13AD5"/>
    <w:rsid w:val="00D23567"/>
    <w:rsid w:val="00D46663"/>
    <w:rsid w:val="00D634B0"/>
    <w:rsid w:val="00D77E1C"/>
    <w:rsid w:val="00DA5DF2"/>
    <w:rsid w:val="00DC2282"/>
    <w:rsid w:val="00DD58AA"/>
    <w:rsid w:val="00DD7751"/>
    <w:rsid w:val="00DE01F5"/>
    <w:rsid w:val="00DE2612"/>
    <w:rsid w:val="00E034BE"/>
    <w:rsid w:val="00E16D6B"/>
    <w:rsid w:val="00E37077"/>
    <w:rsid w:val="00E40416"/>
    <w:rsid w:val="00E50727"/>
    <w:rsid w:val="00E863D4"/>
    <w:rsid w:val="00E969AE"/>
    <w:rsid w:val="00ED4569"/>
    <w:rsid w:val="00EE484F"/>
    <w:rsid w:val="00EE5148"/>
    <w:rsid w:val="00EF2448"/>
    <w:rsid w:val="00F110F7"/>
    <w:rsid w:val="00F44CD1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F4171"/>
    <w:rsid w:val="21F46E1F"/>
    <w:rsid w:val="30856B01"/>
    <w:rsid w:val="30A1912B"/>
    <w:rsid w:val="3C0B4C49"/>
    <w:rsid w:val="4C36665C"/>
    <w:rsid w:val="51A65F81"/>
    <w:rsid w:val="68897158"/>
    <w:rsid w:val="77EB279B"/>
    <w:rsid w:val="7917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80/10635150600755453" TargetMode="External"/><Relationship Id="rId18" Type="http://schemas.openxmlformats.org/officeDocument/2006/relationships/hyperlink" Target="https://doi.org/10.3390/v13030506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ictv.global/taxonomy/templates" TargetMode="External"/><Relationship Id="rId17" Type="http://schemas.openxmlformats.org/officeDocument/2006/relationships/hyperlink" Target="https://doi.org/10.1093/nar/gkab111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93/bioinformatics/btx157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s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v12111268" TargetMode="External"/><Relationship Id="rId23" Type="http://schemas.openxmlformats.org/officeDocument/2006/relationships/footer" Target="footer1.xml"/><Relationship Id="rId10" Type="http://schemas.openxmlformats.org/officeDocument/2006/relationships/hyperlink" Target="mailto:jsacher@stanford.edu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aryanh@stanford.edu" TargetMode="External"/><Relationship Id="rId14" Type="http://schemas.openxmlformats.org/officeDocument/2006/relationships/hyperlink" Target="http://phylogeny.fr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36</cp:revision>
  <dcterms:created xsi:type="dcterms:W3CDTF">2025-03-25T08:46:00Z</dcterms:created>
  <dcterms:modified xsi:type="dcterms:W3CDTF">2025-09-18T07:53:00Z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