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header3.xml.rels" ContentType="application/vnd.openxmlformats-package.relationships+xml"/>
  <Override PartName="/word/_rels/header2.xml.rels" ContentType="application/vnd.openxmlformats-package.relationships+xml"/>
  <Override PartName="/word/_rels/document.xml.rels" ContentType="application/vnd.openxmlformats-package.relationships+xml"/>
  <Override PartName="/word/fontTable.xml" ContentType="application/vnd.openxmlformats-officedocument.wordprocessingml.fontTable+xml"/>
  <Override PartName="/word/numbering.xml" ContentType="application/vnd.openxmlformats-officedocument.wordprocessingml.numbering+xml"/>
  <Override PartName="/word/footer1.xml" ContentType="application/vnd.openxmlformats-officedocument.wordprocessingml.footer+xml"/>
  <Override PartName="/word/header3.xml" ContentType="application/vnd.openxmlformats-officedocument.wordprocessingml.header+xml"/>
  <Override PartName="/word/settings.xml" ContentType="application/vnd.openxmlformats-officedocument.wordprocessingml.settings+xml"/>
  <Override PartName="/word/footer3.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header1.xml" ContentType="application/vnd.openxmlformats-officedocument.wordprocessingml.header+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styles.xml" ContentType="application/vnd.openxmlformats-officedocument.wordprocessingml.styles+xml"/>
  <Override PartName="/word/document.xml" ContentType="application/vnd.openxmlformats-officedocument.wordprocessingml.document.main+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rFonts w:ascii="Aptos" w:hAnsi="Aptos"/>
        </w:rPr>
      </w:pPr>
      <w:r>
        <w:drawing>
          <wp:anchor behindDoc="0" distT="0" distB="0" distL="114300" distR="114300" simplePos="0" locked="0" layoutInCell="0" allowOverlap="1" relativeHeight="19">
            <wp:simplePos x="0" y="0"/>
            <wp:positionH relativeFrom="margin">
              <wp:align>center</wp:align>
            </wp:positionH>
            <wp:positionV relativeFrom="paragraph">
              <wp:posOffset>635</wp:posOffset>
            </wp:positionV>
            <wp:extent cx="1223010" cy="752475"/>
            <wp:effectExtent l="0" t="0" r="0" b="0"/>
            <wp:wrapSquare wrapText="bothSides"/>
            <wp:docPr id="1"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descr=""/>
                    <pic:cNvPicPr>
                      <a:picLocks noChangeAspect="1" noChangeArrowheads="1"/>
                    </pic:cNvPicPr>
                  </pic:nvPicPr>
                  <pic:blipFill>
                    <a:blip r:embed="rId2"/>
                    <a:stretch>
                      <a:fillRect/>
                    </a:stretch>
                  </pic:blipFill>
                  <pic:spPr bwMode="auto">
                    <a:xfrm>
                      <a:off x="0" y="0"/>
                      <a:ext cx="1223010" cy="752475"/>
                    </a:xfrm>
                    <a:prstGeom prst="rect">
                      <a:avLst/>
                    </a:prstGeom>
                  </pic:spPr>
                </pic:pic>
              </a:graphicData>
            </a:graphic>
          </wp:anchor>
        </w:drawing>
      </w:r>
      <w:r>
        <w:rPr>
          <w:rFonts w:ascii="Aptos" w:hAnsi="Aptos"/>
        </w:rPr>
        <w:tab/>
      </w:r>
    </w:p>
    <w:p>
      <w:pPr>
        <w:pStyle w:val="Normal"/>
        <w:rPr>
          <w:rFonts w:ascii="Aptos" w:hAnsi="Aptos" w:cs="Arial"/>
          <w:color w:val="0000FF"/>
          <w:sz w:val="20"/>
          <w:szCs w:val="20"/>
        </w:rPr>
      </w:pPr>
      <w:r>
        <w:rPr>
          <w:rFonts w:cs="Arial" w:ascii="Aptos" w:hAnsi="Aptos"/>
          <w:color w:val="0000FF"/>
          <w:sz w:val="20"/>
          <w:szCs w:val="20"/>
        </w:rPr>
      </w:r>
    </w:p>
    <w:p>
      <w:pPr>
        <w:pStyle w:val="Normal"/>
        <w:rPr>
          <w:rFonts w:ascii="Aptos" w:hAnsi="Aptos" w:cs="Arial"/>
          <w:color w:val="0000FF"/>
          <w:sz w:val="20"/>
          <w:szCs w:val="20"/>
        </w:rPr>
      </w:pPr>
      <w:r>
        <w:rPr>
          <w:rFonts w:cs="Arial" w:ascii="Aptos" w:hAnsi="Aptos"/>
          <w:color w:val="0000FF"/>
          <w:sz w:val="20"/>
          <w:szCs w:val="20"/>
        </w:rPr>
      </w:r>
    </w:p>
    <w:p>
      <w:pPr>
        <w:pStyle w:val="Normal"/>
        <w:rPr>
          <w:rFonts w:ascii="Aptos" w:hAnsi="Aptos" w:cs="Arial"/>
          <w:color w:val="0000FF"/>
          <w:sz w:val="20"/>
          <w:szCs w:val="20"/>
        </w:rPr>
      </w:pPr>
      <w:r>
        <w:rPr>
          <w:rFonts w:cs="Arial" w:ascii="Aptos" w:hAnsi="Aptos"/>
          <w:color w:val="0000FF"/>
          <w:sz w:val="20"/>
          <w:szCs w:val="20"/>
        </w:rPr>
      </w:r>
    </w:p>
    <w:p>
      <w:pPr>
        <w:pStyle w:val="Normal"/>
        <w:rPr>
          <w:rFonts w:ascii="Aptos" w:hAnsi="Aptos" w:cs="Arial"/>
          <w:color w:val="0000FF"/>
          <w:sz w:val="20"/>
          <w:szCs w:val="20"/>
        </w:rPr>
      </w:pPr>
      <w:r>
        <w:rPr>
          <w:rFonts w:cs="Arial" w:ascii="Aptos" w:hAnsi="Aptos"/>
          <w:color w:val="0000FF"/>
          <w:sz w:val="20"/>
          <w:szCs w:val="20"/>
        </w:rPr>
      </w:r>
    </w:p>
    <w:p>
      <w:pPr>
        <w:pStyle w:val="Normal"/>
        <w:rPr>
          <w:rFonts w:ascii="Aptos" w:hAnsi="Aptos" w:cs="Arial"/>
          <w:color w:val="0000FF"/>
          <w:sz w:val="20"/>
          <w:szCs w:val="20"/>
        </w:rPr>
      </w:pPr>
      <w:r>
        <w:rPr>
          <w:rFonts w:cs="Arial" w:ascii="Aptos" w:hAnsi="Aptos"/>
          <w:color w:val="0000FF"/>
          <w:sz w:val="20"/>
          <w:szCs w:val="20"/>
        </w:rPr>
      </w:r>
    </w:p>
    <w:p>
      <w:pPr>
        <w:pStyle w:val="Normal"/>
        <w:jc w:val="center"/>
        <w:rPr>
          <w:rFonts w:ascii="Aptos SemiBold" w:hAnsi="Aptos SemiBold" w:cs="Arial"/>
          <w:color w:themeColor="text1" w:val="000000"/>
        </w:rPr>
      </w:pPr>
      <w:r>
        <w:rPr>
          <w:rFonts w:cs="Arial" w:ascii="Aptos SemiBold" w:hAnsi="Aptos SemiBold"/>
          <w:color w:themeColor="text1" w:val="000000"/>
        </w:rPr>
        <w:t>The International Committee on Taxonomy of Viruses</w:t>
      </w:r>
    </w:p>
    <w:p>
      <w:pPr>
        <w:pStyle w:val="Normal"/>
        <w:jc w:val="center"/>
        <w:rPr>
          <w:rFonts w:ascii="Aptos SemiBold" w:hAnsi="Aptos SemiBold" w:cs="Arial"/>
          <w:color w:themeColor="text1" w:val="000000"/>
        </w:rPr>
      </w:pPr>
      <w:r>
        <w:rPr>
          <w:rFonts w:cs="Arial" w:ascii="Aptos SemiBold" w:hAnsi="Aptos SemiBold"/>
          <w:color w:themeColor="text1" w:val="000000"/>
        </w:rPr>
        <w:t xml:space="preserve">Taxonomy Proposal Form, 2025 </w:t>
      </w:r>
    </w:p>
    <w:p>
      <w:pPr>
        <w:pStyle w:val="Normal"/>
        <w:rPr>
          <w:rFonts w:ascii="Aptos SemiBold" w:hAnsi="Aptos SemiBold" w:cs="Arial"/>
          <w:color w:val="0000FF"/>
        </w:rPr>
      </w:pPr>
      <w:r>
        <w:rPr>
          <w:rFonts w:cs="Arial" w:ascii="Aptos SemiBold" w:hAnsi="Aptos SemiBold"/>
          <w:color w:val="0000FF"/>
        </w:rPr>
      </w:r>
    </w:p>
    <w:p>
      <w:pPr>
        <w:pStyle w:val="Normal"/>
        <w:rPr>
          <w:rFonts w:ascii="Aptos" w:hAnsi="Aptos" w:cs="Arial"/>
          <w:color w:val="0000FF"/>
          <w:sz w:val="20"/>
          <w:szCs w:val="20"/>
        </w:rPr>
      </w:pPr>
      <w:r>
        <w:rPr>
          <w:rFonts w:cs="Arial" w:ascii="Aptos" w:hAnsi="Aptos"/>
          <w:color w:val="0000FF"/>
          <w:sz w:val="20"/>
          <w:szCs w:val="20"/>
        </w:rPr>
      </w:r>
    </w:p>
    <w:p>
      <w:pPr>
        <w:pStyle w:val="Normal"/>
        <w:rPr>
          <w:rFonts w:ascii="Aptos" w:hAnsi="Aptos" w:cs="Arial"/>
          <w:b/>
          <w:color w:val="000000"/>
          <w:sz w:val="20"/>
          <w:szCs w:val="20"/>
        </w:rPr>
      </w:pPr>
      <w:hyperlink r:id="rId3">
        <w:r>
          <w:rPr>
            <w:rStyle w:val="Hyperlink"/>
          </w:rPr>
          <w:t>https://ictv.global/taxonomy/templates</w:t>
        </w:r>
      </w:hyperlink>
      <w:r>
        <w:rPr>
          <w:rFonts w:cs="Arial" w:ascii="Aptos" w:hAnsi="Aptos"/>
          <w:b/>
          <w:color w:val="000000"/>
          <w:sz w:val="20"/>
          <w:szCs w:val="20"/>
        </w:rPr>
        <w:t>Part 1a: Details of taxonomy proposals</w:t>
      </w:r>
    </w:p>
    <w:p>
      <w:pPr>
        <w:pStyle w:val="Normal"/>
        <w:rPr>
          <w:rFonts w:ascii="Aptos" w:hAnsi="Aptos" w:cs="Arial"/>
          <w:sz w:val="20"/>
          <w:szCs w:val="20"/>
          <w:lang w:val="en-GB"/>
        </w:rPr>
      </w:pPr>
      <w:r>
        <w:rPr>
          <w:rFonts w:cs="Arial" w:ascii="Aptos" w:hAnsi="Aptos"/>
          <w:sz w:val="20"/>
          <w:szCs w:val="20"/>
          <w:lang w:val="en-GB"/>
        </w:rPr>
      </w:r>
    </w:p>
    <w:tbl>
      <w:tblPr>
        <w:tblW w:w="9224" w:type="dxa"/>
        <w:jc w:val="left"/>
        <w:tblInd w:w="98" w:type="dxa"/>
        <w:tblLayout w:type="fixed"/>
        <w:tblCellMar>
          <w:top w:w="0" w:type="dxa"/>
          <w:left w:w="108" w:type="dxa"/>
          <w:bottom w:w="0" w:type="dxa"/>
          <w:right w:w="108" w:type="dxa"/>
        </w:tblCellMar>
        <w:tblLook w:val="04a0" w:noHBand="0" w:noVBand="1" w:firstColumn="1" w:lastRow="0" w:lastColumn="0" w:firstRow="1"/>
      </w:tblPr>
      <w:tblGrid>
        <w:gridCol w:w="1809"/>
        <w:gridCol w:w="7177"/>
        <w:gridCol w:w="238"/>
      </w:tblGrid>
      <w:tr>
        <w:trPr/>
        <w:tc>
          <w:tcPr>
            <w:tcW w:w="1809" w:type="dxa"/>
            <w:tcBorders>
              <w:top w:val="single" w:sz="4" w:space="0" w:color="000000"/>
              <w:left w:val="single" w:sz="4" w:space="0" w:color="000000"/>
              <w:bottom w:val="single" w:sz="4" w:space="0" w:color="000000"/>
              <w:right w:val="single" w:sz="4" w:space="0" w:color="000000"/>
            </w:tcBorders>
            <w:shd w:color="auto" w:fill="F2F2F2" w:themeFill="background1" w:themeFillShade="f2" w:val="clear"/>
            <w:vAlign w:val="center"/>
          </w:tcPr>
          <w:p>
            <w:pPr>
              <w:pStyle w:val="Normal"/>
              <w:rPr>
                <w:rFonts w:ascii="Aptos" w:hAnsi="Aptos" w:cs="Arial"/>
                <w:sz w:val="20"/>
              </w:rPr>
            </w:pPr>
            <w:r>
              <w:rPr>
                <w:rFonts w:cs="Arial" w:ascii="Aptos" w:hAnsi="Aptos"/>
                <w:b/>
                <w:bCs/>
                <w:color w:val="000000"/>
                <w:sz w:val="20"/>
                <w:szCs w:val="20"/>
              </w:rPr>
              <w:t>T</w:t>
            </w:r>
            <w:r>
              <w:rPr>
                <w:rFonts w:cs="Arial" w:ascii="Aptos" w:hAnsi="Aptos"/>
                <w:b/>
                <w:color w:val="000000"/>
                <w:sz w:val="20"/>
                <w:szCs w:val="20"/>
              </w:rPr>
              <w:t>itle:</w:t>
            </w:r>
          </w:p>
        </w:tc>
        <w:tc>
          <w:tcPr>
            <w:tcW w:w="7177" w:type="dxa"/>
            <w:tcBorders>
              <w:top w:val="single" w:sz="4" w:space="0" w:color="000000"/>
              <w:left w:val="single" w:sz="4" w:space="0" w:color="000000"/>
              <w:bottom w:val="single" w:sz="4" w:space="0" w:color="000000"/>
              <w:right w:val="single" w:sz="4" w:space="0" w:color="000000"/>
            </w:tcBorders>
            <w:vAlign w:val="center"/>
          </w:tcPr>
          <w:p>
            <w:pPr>
              <w:pStyle w:val="Normal"/>
              <w:rPr>
                <w:color w:val="000000"/>
              </w:rPr>
            </w:pPr>
            <w:r>
              <w:rPr>
                <w:rFonts w:cs="Arial" w:ascii="Aptos" w:hAnsi="Aptos"/>
                <w:color w:val="000000"/>
                <w:sz w:val="20"/>
              </w:rPr>
              <w:t>Revision of the microvirus taxonomy</w:t>
            </w:r>
          </w:p>
        </w:tc>
        <w:tc>
          <w:tcPr>
            <w:tcW w:w="238" w:type="dxa"/>
            <w:tcBorders/>
          </w:tcPr>
          <w:p>
            <w:pPr>
              <w:pStyle w:val="Normal"/>
              <w:rPr/>
            </w:pPr>
            <w:r>
              <w:rPr/>
            </w:r>
          </w:p>
        </w:tc>
      </w:tr>
      <w:tr>
        <w:trPr/>
        <w:tc>
          <w:tcPr>
            <w:tcW w:w="1809" w:type="dxa"/>
            <w:tcBorders>
              <w:top w:val="single" w:sz="4" w:space="0" w:color="000000"/>
              <w:left w:val="single" w:sz="4" w:space="0" w:color="000000"/>
              <w:bottom w:val="single" w:sz="4" w:space="0" w:color="000000"/>
              <w:right w:val="single" w:sz="4" w:space="0" w:color="000000"/>
            </w:tcBorders>
            <w:shd w:color="auto" w:fill="F2F2F2" w:themeFill="background1" w:themeFillShade="f2" w:val="clear"/>
            <w:vAlign w:val="center"/>
          </w:tcPr>
          <w:p>
            <w:pPr>
              <w:pStyle w:val="BodyTextIndent"/>
              <w:ind w:hanging="0" w:left="0"/>
              <w:rPr>
                <w:rFonts w:ascii="Aptos" w:hAnsi="Aptos" w:cs="Arial"/>
                <w:b/>
                <w:i/>
                <w:i/>
                <w:sz w:val="20"/>
              </w:rPr>
            </w:pPr>
            <w:r>
              <w:rPr>
                <w:rFonts w:cs="Arial" w:ascii="Aptos" w:hAnsi="Aptos"/>
                <w:b/>
                <w:sz w:val="20"/>
              </w:rPr>
              <w:t>Code assigned:</w:t>
            </w:r>
          </w:p>
        </w:tc>
        <w:tc>
          <w:tcPr>
            <w:tcW w:w="7415" w:type="dxa"/>
            <w:gridSpan w:val="2"/>
            <w:tcBorders>
              <w:top w:val="single" w:sz="4" w:space="0" w:color="000000"/>
              <w:left w:val="single" w:sz="4" w:space="0" w:color="000000"/>
              <w:bottom w:val="single" w:sz="4" w:space="0" w:color="000000"/>
              <w:right w:val="single" w:sz="4" w:space="0" w:color="000000"/>
            </w:tcBorders>
          </w:tcPr>
          <w:p>
            <w:pPr>
              <w:pStyle w:val="Normal"/>
              <w:rPr>
                <w:rFonts w:ascii="Aptos Narrow" w:hAnsi="Aptos Narrow"/>
                <w:color w:val="000000"/>
                <w:sz w:val="22"/>
                <w:szCs w:val="22"/>
                <w:lang w:val="en-GB"/>
              </w:rPr>
            </w:pPr>
            <w:r>
              <w:rPr>
                <w:rFonts w:ascii="Aptos Narrow" w:hAnsi="Aptos Narrow"/>
                <w:color w:val="000000"/>
                <w:sz w:val="22"/>
                <w:szCs w:val="22"/>
              </w:rPr>
              <w:t>2025.043B.Microviricetes</w:t>
            </w:r>
          </w:p>
        </w:tc>
      </w:tr>
    </w:tbl>
    <w:p>
      <w:pPr>
        <w:pStyle w:val="Normal"/>
        <w:rPr>
          <w:rFonts w:ascii="Aptos" w:hAnsi="Aptos" w:cs="Arial"/>
          <w:b/>
          <w:color w:val="C00000"/>
          <w:sz w:val="20"/>
          <w:szCs w:val="20"/>
        </w:rPr>
      </w:pPr>
      <w:r>
        <w:rPr>
          <w:rFonts w:cs="Arial" w:ascii="Aptos" w:hAnsi="Aptos"/>
          <w:b/>
          <w:color w:val="C00000"/>
          <w:sz w:val="20"/>
          <w:szCs w:val="20"/>
        </w:rPr>
      </w:r>
    </w:p>
    <w:tbl>
      <w:tblPr>
        <w:tblStyle w:val="TableGrid"/>
        <w:tblW w:w="9323" w:type="dxa"/>
        <w:jc w:val="left"/>
        <w:tblInd w:w="113" w:type="dxa"/>
        <w:tblLayout w:type="fixed"/>
        <w:tblCellMar>
          <w:top w:w="0" w:type="dxa"/>
          <w:left w:w="108" w:type="dxa"/>
          <w:bottom w:w="0" w:type="dxa"/>
          <w:right w:w="108" w:type="dxa"/>
        </w:tblCellMar>
        <w:tblLook w:val="04a0" w:noHBand="0" w:noVBand="1" w:firstColumn="1" w:lastRow="0" w:lastColumn="0" w:firstRow="1"/>
      </w:tblPr>
      <w:tblGrid>
        <w:gridCol w:w="1833"/>
        <w:gridCol w:w="1418"/>
        <w:gridCol w:w="2835"/>
        <w:gridCol w:w="2131"/>
        <w:gridCol w:w="1106"/>
      </w:tblGrid>
      <w:tr>
        <w:trPr>
          <w:trHeight w:val="173" w:hRule="atLeast"/>
        </w:trPr>
        <w:tc>
          <w:tcPr>
            <w:tcW w:w="9323" w:type="dxa"/>
            <w:gridSpan w:val="5"/>
            <w:tcBorders/>
            <w:shd w:color="auto" w:fill="F2F2F2" w:themeFill="background1" w:themeFillShade="f2" w:val="clear"/>
          </w:tcPr>
          <w:p>
            <w:pPr>
              <w:pStyle w:val="Normal"/>
              <w:widowControl/>
              <w:suppressAutoHyphens w:val="true"/>
              <w:spacing w:before="0" w:after="0"/>
              <w:jc w:val="left"/>
              <w:rPr>
                <w:rFonts w:ascii="Aptos" w:hAnsi="Aptos" w:cs="Arial"/>
                <w:b/>
                <w:sz w:val="20"/>
                <w:szCs w:val="20"/>
              </w:rPr>
            </w:pPr>
            <w:r>
              <w:rPr>
                <w:rFonts w:cs="Arial" w:ascii="Aptos" w:hAnsi="Aptos"/>
                <w:b/>
                <w:kern w:val="0"/>
                <w:sz w:val="20"/>
                <w:szCs w:val="20"/>
                <w:lang w:eastAsia="en-US" w:bidi="ar-SA"/>
              </w:rPr>
              <w:t>Author(s), affiliation and email address(es):</w:t>
            </w:r>
          </w:p>
        </w:tc>
      </w:tr>
      <w:tr>
        <w:trPr>
          <w:trHeight w:val="411" w:hRule="atLeast"/>
        </w:trPr>
        <w:tc>
          <w:tcPr>
            <w:tcW w:w="1833" w:type="dxa"/>
            <w:tcBorders/>
            <w:shd w:color="auto" w:fill="F2F2F2" w:themeFill="background1" w:themeFillShade="f2" w:val="clear"/>
            <w:vAlign w:val="center"/>
          </w:tcPr>
          <w:p>
            <w:pPr>
              <w:pStyle w:val="Normal"/>
              <w:widowControl/>
              <w:suppressAutoHyphens w:val="true"/>
              <w:spacing w:before="0" w:after="0"/>
              <w:jc w:val="left"/>
              <w:rPr>
                <w:rFonts w:ascii="Aptos" w:hAnsi="Aptos" w:cs="Arial"/>
                <w:sz w:val="18"/>
                <w:szCs w:val="18"/>
              </w:rPr>
            </w:pPr>
            <w:r>
              <w:rPr>
                <w:rFonts w:cs="Arial" w:ascii="Aptos" w:hAnsi="Aptos"/>
                <w:b/>
                <w:kern w:val="0"/>
                <w:sz w:val="20"/>
                <w:szCs w:val="20"/>
                <w:lang w:eastAsia="en-US" w:bidi="ar-SA"/>
              </w:rPr>
              <w:t>Given name (+middle initial(s))</w:t>
            </w:r>
          </w:p>
        </w:tc>
        <w:tc>
          <w:tcPr>
            <w:tcW w:w="1418" w:type="dxa"/>
            <w:tcBorders/>
            <w:shd w:color="auto" w:fill="F2F2F2" w:themeFill="background1" w:themeFillShade="f2" w:val="clear"/>
            <w:vAlign w:val="center"/>
          </w:tcPr>
          <w:p>
            <w:pPr>
              <w:pStyle w:val="Normal"/>
              <w:widowControl/>
              <w:suppressAutoHyphens w:val="true"/>
              <w:spacing w:before="0" w:after="0"/>
              <w:jc w:val="left"/>
              <w:rPr>
                <w:rFonts w:ascii="Aptos" w:hAnsi="Aptos" w:cs="Arial"/>
                <w:b/>
                <w:sz w:val="20"/>
                <w:szCs w:val="20"/>
              </w:rPr>
            </w:pPr>
            <w:r>
              <w:rPr>
                <w:rFonts w:cs="Arial" w:ascii="Aptos" w:hAnsi="Aptos"/>
                <w:b/>
                <w:kern w:val="0"/>
                <w:sz w:val="20"/>
                <w:szCs w:val="20"/>
                <w:lang w:eastAsia="en-US" w:bidi="ar-SA"/>
              </w:rPr>
              <w:t>Surname</w:t>
            </w:r>
          </w:p>
        </w:tc>
        <w:tc>
          <w:tcPr>
            <w:tcW w:w="2835" w:type="dxa"/>
            <w:tcBorders/>
            <w:shd w:color="auto" w:fill="F2F2F2" w:themeFill="background1" w:themeFillShade="f2" w:val="clear"/>
            <w:vAlign w:val="center"/>
          </w:tcPr>
          <w:p>
            <w:pPr>
              <w:pStyle w:val="Normal"/>
              <w:widowControl/>
              <w:suppressAutoHyphens w:val="true"/>
              <w:spacing w:before="0" w:after="0"/>
              <w:jc w:val="left"/>
              <w:rPr>
                <w:rFonts w:ascii="Aptos" w:hAnsi="Aptos" w:cs="Arial"/>
                <w:b/>
                <w:sz w:val="20"/>
                <w:szCs w:val="20"/>
              </w:rPr>
            </w:pPr>
            <w:r>
              <w:rPr>
                <w:rFonts w:cs="Arial" w:ascii="Aptos" w:hAnsi="Aptos"/>
                <w:b/>
                <w:kern w:val="0"/>
                <w:sz w:val="20"/>
                <w:szCs w:val="20"/>
                <w:lang w:eastAsia="en-US" w:bidi="ar-SA"/>
              </w:rPr>
              <w:t>Affiliation</w:t>
            </w:r>
          </w:p>
        </w:tc>
        <w:tc>
          <w:tcPr>
            <w:tcW w:w="2131" w:type="dxa"/>
            <w:tcBorders/>
            <w:shd w:color="auto" w:fill="F2F2F2" w:themeFill="background1" w:themeFillShade="f2" w:val="clear"/>
            <w:vAlign w:val="center"/>
          </w:tcPr>
          <w:p>
            <w:pPr>
              <w:pStyle w:val="Normal"/>
              <w:widowControl/>
              <w:suppressAutoHyphens w:val="true"/>
              <w:spacing w:before="0" w:after="0"/>
              <w:jc w:val="left"/>
              <w:rPr>
                <w:rFonts w:ascii="Aptos" w:hAnsi="Aptos" w:cs="Arial"/>
                <w:b/>
                <w:sz w:val="20"/>
                <w:szCs w:val="20"/>
              </w:rPr>
            </w:pPr>
            <w:r>
              <w:rPr>
                <w:rFonts w:cs="Arial" w:ascii="Aptos" w:hAnsi="Aptos"/>
                <w:b/>
                <w:kern w:val="0"/>
                <w:sz w:val="20"/>
                <w:szCs w:val="20"/>
                <w:lang w:eastAsia="en-US" w:bidi="ar-SA"/>
              </w:rPr>
              <w:t>Email address</w:t>
            </w:r>
          </w:p>
        </w:tc>
        <w:tc>
          <w:tcPr>
            <w:tcW w:w="1106" w:type="dxa"/>
            <w:tcBorders/>
            <w:shd w:color="auto" w:fill="F2F2F2" w:themeFill="background1" w:themeFillShade="f2" w:val="clear"/>
            <w:vAlign w:val="center"/>
          </w:tcPr>
          <w:p>
            <w:pPr>
              <w:pStyle w:val="Normal"/>
              <w:widowControl/>
              <w:suppressAutoHyphens w:val="true"/>
              <w:spacing w:before="0" w:after="0"/>
              <w:jc w:val="left"/>
              <w:rPr>
                <w:rFonts w:ascii="Aptos" w:hAnsi="Aptos" w:cs="Arial"/>
                <w:b/>
                <w:sz w:val="20"/>
                <w:szCs w:val="20"/>
              </w:rPr>
            </w:pPr>
            <w:r>
              <w:rPr>
                <w:rFonts w:cs="Arial" w:ascii="Aptos" w:hAnsi="Aptos"/>
                <w:b/>
                <w:kern w:val="0"/>
                <w:sz w:val="20"/>
                <w:szCs w:val="20"/>
                <w:lang w:eastAsia="en-US" w:bidi="ar-SA"/>
              </w:rPr>
              <w:t>Corr. author(s)</w:t>
            </w:r>
          </w:p>
          <w:p>
            <w:pPr>
              <w:pStyle w:val="Normal"/>
              <w:widowControl/>
              <w:suppressAutoHyphens w:val="true"/>
              <w:spacing w:before="0" w:after="0"/>
              <w:jc w:val="left"/>
              <w:rPr>
                <w:rFonts w:ascii="Aptos" w:hAnsi="Aptos" w:cs="Arial"/>
                <w:color w:val="0070C0"/>
                <w:sz w:val="20"/>
                <w:szCs w:val="20"/>
              </w:rPr>
            </w:pPr>
            <w:r>
              <w:rPr>
                <w:rFonts w:cs="Arial" w:ascii="Aptos" w:hAnsi="Aptos"/>
                <w:color w:val="0070C0"/>
                <w:sz w:val="20"/>
                <w:szCs w:val="20"/>
              </w:rPr>
            </w:r>
          </w:p>
        </w:tc>
      </w:tr>
      <w:tr>
        <w:trPr>
          <w:trHeight w:val="1619" w:hRule="atLeast"/>
        </w:trPr>
        <w:tc>
          <w:tcPr>
            <w:tcW w:w="1833" w:type="dxa"/>
            <w:tcBorders/>
            <w:shd w:color="auto" w:fill="FFFFFF" w:themeFill="background1" w:val="clear"/>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Cristina</w:t>
            </w:r>
          </w:p>
        </w:tc>
        <w:tc>
          <w:tcPr>
            <w:tcW w:w="1418" w:type="dxa"/>
            <w:tcBorders/>
            <w:shd w:color="auto" w:fill="FFFFFF" w:themeFill="background1" w:val="clear"/>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Moraru</w:t>
            </w:r>
          </w:p>
        </w:tc>
        <w:tc>
          <w:tcPr>
            <w:tcW w:w="2835" w:type="dxa"/>
            <w:tcBorders/>
            <w:shd w:color="auto" w:fill="FFFFFF" w:themeFill="background1" w:val="clear"/>
            <w:vAlign w:val="center"/>
          </w:tcPr>
          <w:p>
            <w:pPr>
              <w:pStyle w:val="Normal"/>
              <w:widowControl/>
              <w:suppressAutoHyphens w:val="true"/>
              <w:spacing w:before="0" w:after="0"/>
              <w:jc w:val="left"/>
              <w:rPr>
                <w:rFonts w:ascii="Aptos" w:hAnsi="Aptos" w:cs="Arial"/>
                <w:bCs/>
                <w:color w:val="000000"/>
                <w:sz w:val="20"/>
                <w:szCs w:val="20"/>
              </w:rPr>
            </w:pPr>
            <w:r>
              <w:rPr>
                <w:rFonts w:cs="Arial" w:ascii="Aptos" w:hAnsi="Aptos"/>
                <w:bCs/>
                <w:color w:val="000000"/>
                <w:kern w:val="0"/>
                <w:sz w:val="20"/>
                <w:szCs w:val="20"/>
                <w:lang w:eastAsia="en-US" w:bidi="ar-SA"/>
              </w:rPr>
              <w:t>Institute for Chemistry and Biology of the Marine Environment, Carl-von-Ossietzky-Str. 9-11, 26111 Oldenburg, Germany</w:t>
            </w:r>
          </w:p>
        </w:tc>
        <w:tc>
          <w:tcPr>
            <w:tcW w:w="2131" w:type="dxa"/>
            <w:tcBorders/>
            <w:shd w:color="auto" w:fill="FFFFFF" w:themeFill="background1" w:val="clear"/>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lilianacristina.moraru@uni-due.de</w:t>
            </w:r>
          </w:p>
        </w:tc>
        <w:tc>
          <w:tcPr>
            <w:tcW w:w="1106" w:type="dxa"/>
            <w:tcBorders/>
            <w:shd w:color="auto" w:fill="FFFFFF" w:themeFill="background1" w:val="clear"/>
            <w:vAlign w:val="center"/>
          </w:tcPr>
          <w:p>
            <w:pPr>
              <w:pStyle w:val="Normal"/>
              <w:widowControl/>
              <w:suppressAutoHyphens w:val="true"/>
              <w:spacing w:before="0" w:after="0"/>
              <w:jc w:val="center"/>
              <w:rPr>
                <w:rFonts w:ascii="Aptos" w:hAnsi="Aptos"/>
                <w:color w:val="000000"/>
                <w:sz w:val="20"/>
                <w:szCs w:val="20"/>
              </w:rPr>
            </w:pPr>
            <w:r>
              <w:rPr>
                <w:rFonts w:ascii="Aptos" w:hAnsi="Aptos"/>
                <w:color w:val="000000"/>
                <w:sz w:val="20"/>
                <w:szCs w:val="20"/>
              </w:rPr>
            </w:r>
          </w:p>
        </w:tc>
      </w:tr>
      <w:tr>
        <w:trPr/>
        <w:tc>
          <w:tcPr>
            <w:tcW w:w="1833"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Paul</w:t>
            </w:r>
          </w:p>
        </w:tc>
        <w:tc>
          <w:tcPr>
            <w:tcW w:w="1418"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Kirchberger</w:t>
            </w:r>
          </w:p>
        </w:tc>
        <w:tc>
          <w:tcPr>
            <w:tcW w:w="2835" w:type="dxa"/>
            <w:tcBorders/>
            <w:vAlign w:val="center"/>
          </w:tcPr>
          <w:p>
            <w:pPr>
              <w:pStyle w:val="Normal"/>
              <w:widowControl/>
              <w:suppressAutoHyphens w:val="true"/>
              <w:spacing w:before="0" w:after="0"/>
              <w:jc w:val="left"/>
              <w:rPr>
                <w:rFonts w:ascii="Aptos" w:hAnsi="Aptos" w:cs="Arial"/>
                <w:bCs/>
                <w:color w:val="000000"/>
                <w:sz w:val="20"/>
                <w:szCs w:val="20"/>
              </w:rPr>
            </w:pPr>
            <w:r>
              <w:rPr>
                <w:rFonts w:cs="Arial" w:ascii="Aptos" w:hAnsi="Aptos"/>
                <w:bCs/>
                <w:color w:val="000000"/>
                <w:kern w:val="0"/>
                <w:sz w:val="20"/>
                <w:szCs w:val="20"/>
                <w:lang w:eastAsia="en-US" w:bidi="ar-SA"/>
              </w:rPr>
              <w:t>Department of Microbiology &amp; Molecular Genetics, Oklahoma State University, US</w:t>
            </w:r>
          </w:p>
        </w:tc>
        <w:tc>
          <w:tcPr>
            <w:tcW w:w="2131"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paul.kirchberger@okstate.edu</w:t>
            </w:r>
          </w:p>
        </w:tc>
        <w:tc>
          <w:tcPr>
            <w:tcW w:w="1106" w:type="dxa"/>
            <w:tcBorders/>
            <w:vAlign w:val="center"/>
          </w:tcPr>
          <w:p>
            <w:pPr>
              <w:pStyle w:val="Normal"/>
              <w:widowControl/>
              <w:suppressAutoHyphens w:val="true"/>
              <w:spacing w:before="0" w:after="0"/>
              <w:jc w:val="center"/>
              <w:rPr>
                <w:rFonts w:ascii="Aptos" w:hAnsi="Aptos"/>
                <w:color w:val="000000"/>
                <w:sz w:val="20"/>
                <w:szCs w:val="20"/>
              </w:rPr>
            </w:pPr>
            <w:r>
              <w:rPr>
                <w:rFonts w:ascii="Aptos" w:hAnsi="Aptos"/>
                <w:color w:val="000000"/>
                <w:sz w:val="20"/>
                <w:szCs w:val="20"/>
              </w:rPr>
            </w:r>
          </w:p>
        </w:tc>
      </w:tr>
      <w:tr>
        <w:trPr/>
        <w:tc>
          <w:tcPr>
            <w:tcW w:w="1833"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Simon</w:t>
            </w:r>
          </w:p>
        </w:tc>
        <w:tc>
          <w:tcPr>
            <w:tcW w:w="1418"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Roux</w:t>
            </w:r>
          </w:p>
        </w:tc>
        <w:tc>
          <w:tcPr>
            <w:tcW w:w="2835"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 xml:space="preserve">Department of Energy - Joint Genome Institute. </w:t>
            </w:r>
            <w:r>
              <w:rPr>
                <w:rFonts w:ascii="Aptos" w:hAnsi="Aptos"/>
                <w:color w:val="000000"/>
                <w:kern w:val="0"/>
                <w:sz w:val="20"/>
                <w:szCs w:val="20"/>
                <w:lang w:eastAsia="en-US" w:bidi="ar-SA"/>
              </w:rPr>
              <w:t>Lawrence Berkeley National Laboratory, 1 Cyclotron Road, Berkeley, CA 94720, United States</w:t>
            </w:r>
          </w:p>
          <w:p>
            <w:pPr>
              <w:pStyle w:val="Normal"/>
              <w:widowControl/>
              <w:suppressAutoHyphens w:val="true"/>
              <w:spacing w:before="0" w:after="0"/>
              <w:jc w:val="left"/>
              <w:rPr>
                <w:rFonts w:ascii="Aptos" w:hAnsi="Aptos" w:cs="Arial"/>
                <w:bCs/>
                <w:color w:val="000000"/>
                <w:sz w:val="20"/>
                <w:szCs w:val="20"/>
              </w:rPr>
            </w:pPr>
            <w:r>
              <w:rPr>
                <w:rFonts w:cs="Arial" w:ascii="Aptos" w:hAnsi="Aptos"/>
                <w:bCs/>
                <w:color w:val="000000"/>
                <w:sz w:val="20"/>
                <w:szCs w:val="20"/>
              </w:rPr>
            </w:r>
          </w:p>
        </w:tc>
        <w:tc>
          <w:tcPr>
            <w:tcW w:w="2131"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sroux@lbl.gov</w:t>
            </w:r>
          </w:p>
        </w:tc>
        <w:tc>
          <w:tcPr>
            <w:tcW w:w="1106" w:type="dxa"/>
            <w:tcBorders/>
            <w:vAlign w:val="center"/>
          </w:tcPr>
          <w:p>
            <w:pPr>
              <w:pStyle w:val="Normal"/>
              <w:widowControl/>
              <w:suppressAutoHyphens w:val="true"/>
              <w:spacing w:before="0" w:after="0"/>
              <w:jc w:val="center"/>
              <w:rPr>
                <w:rFonts w:ascii="Aptos" w:hAnsi="Aptos"/>
                <w:color w:val="000000"/>
                <w:sz w:val="20"/>
                <w:szCs w:val="20"/>
              </w:rPr>
            </w:pPr>
            <w:r>
              <w:rPr>
                <w:rFonts w:ascii="Aptos" w:hAnsi="Aptos"/>
                <w:color w:val="000000"/>
                <w:sz w:val="20"/>
                <w:szCs w:val="20"/>
              </w:rPr>
            </w:r>
          </w:p>
        </w:tc>
      </w:tr>
      <w:tr>
        <w:trPr/>
        <w:tc>
          <w:tcPr>
            <w:tcW w:w="1833"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Arvind</w:t>
            </w:r>
          </w:p>
        </w:tc>
        <w:tc>
          <w:tcPr>
            <w:tcW w:w="1418"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Varsani</w:t>
            </w:r>
          </w:p>
        </w:tc>
        <w:tc>
          <w:tcPr>
            <w:tcW w:w="2835"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The Biodesign Center for Fundamental and Applied Microbiomics, Center for Evolution and Medicine, School of Life Sciences, Arizona State University, 1001 S. McAllister Ave, Tempe, AZ 85287-5001, USA</w:t>
            </w:r>
          </w:p>
        </w:tc>
        <w:tc>
          <w:tcPr>
            <w:tcW w:w="2131"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Arvind.Varsani@asu.edu</w:t>
            </w:r>
          </w:p>
        </w:tc>
        <w:tc>
          <w:tcPr>
            <w:tcW w:w="1106" w:type="dxa"/>
            <w:tcBorders/>
            <w:vAlign w:val="center"/>
          </w:tcPr>
          <w:p>
            <w:pPr>
              <w:pStyle w:val="Normal"/>
              <w:widowControl/>
              <w:suppressAutoHyphens w:val="true"/>
              <w:spacing w:before="0" w:after="0"/>
              <w:jc w:val="center"/>
              <w:rPr>
                <w:rFonts w:ascii="Aptos" w:hAnsi="Aptos"/>
                <w:color w:val="000000"/>
                <w:sz w:val="20"/>
                <w:szCs w:val="20"/>
              </w:rPr>
            </w:pPr>
            <w:r>
              <w:rPr>
                <w:rFonts w:ascii="Aptos" w:hAnsi="Aptos"/>
                <w:color w:val="000000"/>
                <w:sz w:val="20"/>
                <w:szCs w:val="20"/>
              </w:rPr>
            </w:r>
          </w:p>
        </w:tc>
      </w:tr>
      <w:tr>
        <w:trPr/>
        <w:tc>
          <w:tcPr>
            <w:tcW w:w="1833"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Mart</w:t>
            </w:r>
          </w:p>
        </w:tc>
        <w:tc>
          <w:tcPr>
            <w:tcW w:w="1418"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Krupovic</w:t>
            </w:r>
          </w:p>
        </w:tc>
        <w:tc>
          <w:tcPr>
            <w:tcW w:w="2835" w:type="dxa"/>
            <w:tcBorders/>
            <w:vAlign w:val="center"/>
          </w:tcPr>
          <w:p>
            <w:pPr>
              <w:pStyle w:val="Normal"/>
              <w:widowControl/>
              <w:suppressAutoHyphens w:val="true"/>
              <w:spacing w:before="0" w:after="0"/>
              <w:jc w:val="left"/>
              <w:rPr>
                <w:rFonts w:ascii="Aptos" w:hAnsi="Aptos"/>
                <w:color w:val="000000"/>
                <w:sz w:val="20"/>
                <w:szCs w:val="20"/>
              </w:rPr>
            </w:pPr>
            <w:r>
              <w:rPr>
                <w:rFonts w:ascii="Aptos" w:hAnsi="Aptos"/>
                <w:color w:val="000000"/>
                <w:kern w:val="0"/>
                <w:sz w:val="20"/>
                <w:szCs w:val="20"/>
                <w:lang w:val="fr-FR" w:eastAsia="en-US" w:bidi="ar-SA"/>
              </w:rPr>
              <w:t>Institut Pasteur, Université Paris Cité, CNRS UMR6047, Archaeal Virology Unit, 25 rue du Dr Roux, 75015 Paris, France</w:t>
            </w:r>
          </w:p>
        </w:tc>
        <w:tc>
          <w:tcPr>
            <w:tcW w:w="2131" w:type="dxa"/>
            <w:tcBorders/>
            <w:vAlign w:val="center"/>
          </w:tcPr>
          <w:p>
            <w:pPr>
              <w:pStyle w:val="Normal"/>
              <w:widowControl/>
              <w:suppressAutoHyphens w:val="true"/>
              <w:spacing w:before="0" w:after="0"/>
              <w:jc w:val="left"/>
              <w:rPr>
                <w:rFonts w:ascii="Aptos" w:hAnsi="Aptos" w:cs="Arial"/>
                <w:bCs/>
                <w:color w:val="000000"/>
                <w:sz w:val="20"/>
                <w:szCs w:val="20"/>
              </w:rPr>
            </w:pPr>
            <w:r>
              <w:rPr>
                <w:rFonts w:cs="Arial" w:ascii="Aptos" w:hAnsi="Aptos"/>
                <w:bCs/>
                <w:color w:val="000000"/>
                <w:kern w:val="0"/>
                <w:sz w:val="20"/>
                <w:szCs w:val="20"/>
                <w:lang w:eastAsia="en-US" w:bidi="ar-SA"/>
              </w:rPr>
              <w:t>mart.krupovic@pasteur.fr</w:t>
            </w:r>
          </w:p>
        </w:tc>
        <w:tc>
          <w:tcPr>
            <w:tcW w:w="1106" w:type="dxa"/>
            <w:tcBorders/>
            <w:vAlign w:val="center"/>
          </w:tcPr>
          <w:p>
            <w:pPr>
              <w:pStyle w:val="Normal"/>
              <w:widowControl/>
              <w:suppressAutoHyphens w:val="true"/>
              <w:spacing w:before="0" w:after="0"/>
              <w:jc w:val="center"/>
              <w:rPr>
                <w:rFonts w:ascii="Aptos" w:hAnsi="Aptos" w:cs="Arial"/>
                <w:bCs/>
                <w:color w:val="000000"/>
                <w:sz w:val="20"/>
                <w:szCs w:val="20"/>
              </w:rPr>
            </w:pPr>
            <w:r>
              <w:rPr>
                <w:rFonts w:cs="Arial" w:ascii="Aptos" w:hAnsi="Aptos"/>
                <w:bCs/>
                <w:color w:val="000000"/>
                <w:sz w:val="20"/>
                <w:szCs w:val="20"/>
              </w:rPr>
            </w:r>
          </w:p>
        </w:tc>
      </w:tr>
      <w:tr>
        <w:trPr/>
        <w:tc>
          <w:tcPr>
            <w:tcW w:w="1833" w:type="dxa"/>
            <w:tcBorders>
              <w:top w:val="nil"/>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Eric</w:t>
            </w:r>
          </w:p>
        </w:tc>
        <w:tc>
          <w:tcPr>
            <w:tcW w:w="1418" w:type="dxa"/>
            <w:tcBorders>
              <w:top w:val="nil"/>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Olo Ndela</w:t>
            </w:r>
          </w:p>
        </w:tc>
        <w:tc>
          <w:tcPr>
            <w:tcW w:w="2835" w:type="dxa"/>
            <w:tcBorders>
              <w:top w:val="nil"/>
            </w:tcBorders>
            <w:vAlign w:val="center"/>
          </w:tcPr>
          <w:p>
            <w:pPr>
              <w:pStyle w:val="Normal"/>
              <w:widowControl/>
              <w:suppressAutoHyphens w:val="true"/>
              <w:spacing w:before="0" w:after="0"/>
              <w:jc w:val="left"/>
              <w:rPr>
                <w:rFonts w:ascii="Aptos" w:hAnsi="Aptos"/>
                <w:color w:val="000000"/>
                <w:sz w:val="20"/>
                <w:szCs w:val="20"/>
              </w:rPr>
            </w:pPr>
            <w:r>
              <w:rPr>
                <w:rFonts w:ascii="Aptos" w:hAnsi="Aptos"/>
                <w:color w:val="000000"/>
                <w:kern w:val="0"/>
                <w:sz w:val="20"/>
                <w:szCs w:val="20"/>
                <w:lang w:eastAsia="en-US" w:bidi="ar-SA"/>
              </w:rPr>
              <w:t>Department of Energy - Joint Genome Institute. Lawrence Berkeley National Laboratory, 1 Cyclotron Road, Berkeley, CA 94720, United States</w:t>
            </w:r>
          </w:p>
        </w:tc>
        <w:tc>
          <w:tcPr>
            <w:tcW w:w="2131" w:type="dxa"/>
            <w:tcBorders>
              <w:top w:val="nil"/>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eolondela@lbl.gov</w:t>
            </w:r>
          </w:p>
        </w:tc>
        <w:tc>
          <w:tcPr>
            <w:tcW w:w="1106" w:type="dxa"/>
            <w:tcBorders>
              <w:top w:val="nil"/>
            </w:tcBorders>
            <w:vAlign w:val="center"/>
          </w:tcPr>
          <w:p>
            <w:pPr>
              <w:pStyle w:val="Normal"/>
              <w:widowControl/>
              <w:suppressAutoHyphens w:val="true"/>
              <w:spacing w:before="0" w:after="0"/>
              <w:jc w:val="center"/>
              <w:rPr>
                <w:rFonts w:ascii="Aptos" w:hAnsi="Aptos"/>
                <w:color w:val="000000"/>
                <w:sz w:val="20"/>
                <w:szCs w:val="20"/>
              </w:rPr>
            </w:pPr>
            <w:r>
              <w:rPr>
                <w:rFonts w:ascii="Aptos" w:hAnsi="Aptos"/>
                <w:color w:val="000000"/>
                <w:sz w:val="20"/>
                <w:szCs w:val="20"/>
              </w:rPr>
            </w:r>
          </w:p>
        </w:tc>
      </w:tr>
      <w:tr>
        <w:trPr/>
        <w:tc>
          <w:tcPr>
            <w:tcW w:w="1833"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Francois</w:t>
            </w:r>
          </w:p>
        </w:tc>
        <w:tc>
          <w:tcPr>
            <w:tcW w:w="1418"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Enault</w:t>
            </w:r>
          </w:p>
        </w:tc>
        <w:tc>
          <w:tcPr>
            <w:tcW w:w="2835"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LMGE, UMR CNRS 6023, Clermont-Ferrand, France</w:t>
            </w:r>
          </w:p>
        </w:tc>
        <w:tc>
          <w:tcPr>
            <w:tcW w:w="2131" w:type="dxa"/>
            <w:tcBorders/>
            <w:vAlign w:val="center"/>
          </w:tcPr>
          <w:p>
            <w:pPr>
              <w:pStyle w:val="Normal"/>
              <w:widowControl/>
              <w:suppressAutoHyphens w:val="true"/>
              <w:spacing w:before="0" w:after="0"/>
              <w:jc w:val="left"/>
              <w:rPr>
                <w:rFonts w:ascii="Aptos" w:hAnsi="Aptos"/>
                <w:color w:val="000000"/>
                <w:sz w:val="20"/>
                <w:szCs w:val="20"/>
              </w:rPr>
            </w:pPr>
            <w:r>
              <w:rPr>
                <w:rFonts w:cs="Arial" w:ascii="Aptos" w:hAnsi="Aptos"/>
                <w:bCs/>
                <w:color w:val="000000"/>
                <w:kern w:val="0"/>
                <w:sz w:val="20"/>
                <w:szCs w:val="20"/>
                <w:lang w:eastAsia="en-US" w:bidi="ar-SA"/>
              </w:rPr>
              <w:t>francois.enault@uca.fr</w:t>
            </w:r>
          </w:p>
        </w:tc>
        <w:tc>
          <w:tcPr>
            <w:tcW w:w="1106" w:type="dxa"/>
            <w:tcBorders/>
            <w:vAlign w:val="center"/>
          </w:tcPr>
          <w:p>
            <w:pPr>
              <w:pStyle w:val="Normal"/>
              <w:widowControl/>
              <w:suppressAutoHyphens w:val="true"/>
              <w:spacing w:before="0" w:after="0"/>
              <w:jc w:val="center"/>
              <w:rPr>
                <w:rFonts w:ascii="Aptos" w:hAnsi="Aptos"/>
                <w:color w:val="000000"/>
                <w:sz w:val="20"/>
                <w:szCs w:val="20"/>
              </w:rPr>
            </w:pPr>
            <w:r>
              <w:rPr>
                <w:rFonts w:cs="Arial" w:ascii="Aptos" w:hAnsi="Aptos"/>
                <w:bCs/>
                <w:color w:val="000000"/>
                <w:kern w:val="0"/>
                <w:sz w:val="20"/>
                <w:szCs w:val="20"/>
                <w:lang w:eastAsia="en-US" w:bidi="ar-SA"/>
              </w:rPr>
              <w:t>X</w:t>
            </w:r>
          </w:p>
        </w:tc>
      </w:tr>
    </w:tbl>
    <w:p>
      <w:pPr>
        <w:pStyle w:val="Normal"/>
        <w:rPr>
          <w:rFonts w:ascii="Aptos" w:hAnsi="Aptos" w:cs="Arial"/>
          <w:b/>
          <w:sz w:val="20"/>
          <w:szCs w:val="20"/>
        </w:rPr>
      </w:pPr>
      <w:r>
        <w:rPr>
          <w:rFonts w:cs="Arial" w:ascii="Aptos" w:hAnsi="Aptos"/>
          <w:b/>
          <w:sz w:val="20"/>
          <w:szCs w:val="20"/>
        </w:rPr>
      </w:r>
      <w:r>
        <w:br w:type="page"/>
      </w:r>
    </w:p>
    <w:p>
      <w:pPr>
        <w:pStyle w:val="Normal"/>
        <w:spacing w:before="0" w:after="120"/>
        <w:rPr>
          <w:rFonts w:ascii="Aptos" w:hAnsi="Aptos" w:cs="Arial"/>
          <w:b/>
          <w:sz w:val="20"/>
          <w:szCs w:val="20"/>
        </w:rPr>
      </w:pPr>
      <w:r>
        <w:rPr>
          <w:rFonts w:cs="Arial" w:ascii="Aptos" w:hAnsi="Aptos"/>
          <w:b/>
          <w:sz w:val="20"/>
          <w:szCs w:val="20"/>
        </w:rPr>
        <w:t xml:space="preserve">Part 1b: Taxonomy Proposal Submission </w:t>
      </w:r>
    </w:p>
    <w:tbl>
      <w:tblPr>
        <w:tblStyle w:val="TableGrid"/>
        <w:tblW w:w="8505"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3970"/>
        <w:gridCol w:w="284"/>
        <w:gridCol w:w="3926"/>
        <w:gridCol w:w="324"/>
      </w:tblGrid>
      <w:tr>
        <w:trPr/>
        <w:tc>
          <w:tcPr>
            <w:tcW w:w="8504" w:type="dxa"/>
            <w:gridSpan w:val="4"/>
            <w:tcBorders/>
            <w:shd w:color="auto" w:fill="F2F2F2" w:themeFill="background1" w:themeFillShade="f2" w:val="clear"/>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kern w:val="0"/>
                <w:sz w:val="20"/>
                <w:szCs w:val="20"/>
                <w:lang w:eastAsia="en-GB" w:bidi="ar-SA"/>
              </w:rPr>
              <w:t>ICTV Subcommittee:</w:t>
            </w:r>
          </w:p>
        </w:tc>
      </w:tr>
      <w:tr>
        <w:trPr/>
        <w:tc>
          <w:tcPr>
            <w:tcW w:w="3970"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Animal DNA Viruses and Retroviruses</w:t>
            </w:r>
          </w:p>
        </w:tc>
        <w:tc>
          <w:tcPr>
            <w:tcW w:w="284"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c>
          <w:tcPr>
            <w:tcW w:w="3926"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Bacterial viruses</w:t>
            </w:r>
          </w:p>
        </w:tc>
        <w:tc>
          <w:tcPr>
            <w:tcW w:w="324" w:type="dxa"/>
            <w:tcBorders/>
          </w:tcPr>
          <w:p>
            <w:pPr>
              <w:pStyle w:val="Normal"/>
              <w:widowControl/>
              <w:suppressAutoHyphens w:val="true"/>
              <w:spacing w:before="0" w:after="0"/>
              <w:jc w:val="left"/>
              <w:rPr>
                <w:rFonts w:ascii="Aptos" w:hAnsi="Aptos" w:eastAsia="Times" w:cs="Arial"/>
                <w:b/>
                <w:color w:val="BF360C"/>
                <w:sz w:val="20"/>
                <w:szCs w:val="20"/>
                <w:lang w:eastAsia="en-GB"/>
              </w:rPr>
            </w:pPr>
            <w:r>
              <w:rPr>
                <w:rFonts w:eastAsia="Times" w:cs="Arial" w:ascii="Aptos" w:hAnsi="Aptos"/>
                <w:b/>
                <w:color w:val="BF360C"/>
                <w:kern w:val="0"/>
                <w:sz w:val="20"/>
                <w:szCs w:val="20"/>
                <w:lang w:eastAsia="en-GB" w:bidi="ar-SA"/>
              </w:rPr>
              <w:t>X</w:t>
            </w:r>
          </w:p>
        </w:tc>
      </w:tr>
      <w:tr>
        <w:trPr/>
        <w:tc>
          <w:tcPr>
            <w:tcW w:w="3970"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Animal minus-strand and dsRNA viruses</w:t>
            </w:r>
          </w:p>
        </w:tc>
        <w:tc>
          <w:tcPr>
            <w:tcW w:w="284"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c>
          <w:tcPr>
            <w:tcW w:w="3926"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Fungal and protist viruses</w:t>
            </w:r>
          </w:p>
        </w:tc>
        <w:tc>
          <w:tcPr>
            <w:tcW w:w="324"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r>
      <w:tr>
        <w:trPr/>
        <w:tc>
          <w:tcPr>
            <w:tcW w:w="3970"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Animal positive-strand RNA viruses</w:t>
            </w:r>
          </w:p>
        </w:tc>
        <w:tc>
          <w:tcPr>
            <w:tcW w:w="284"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c>
          <w:tcPr>
            <w:tcW w:w="3926"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Plant viruses</w:t>
            </w:r>
          </w:p>
        </w:tc>
        <w:tc>
          <w:tcPr>
            <w:tcW w:w="324"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r>
      <w:tr>
        <w:trPr/>
        <w:tc>
          <w:tcPr>
            <w:tcW w:w="3970"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Archaeal viruses</w:t>
            </w:r>
          </w:p>
        </w:tc>
        <w:tc>
          <w:tcPr>
            <w:tcW w:w="284"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c>
          <w:tcPr>
            <w:tcW w:w="3926"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General -</w:t>
            </w:r>
          </w:p>
        </w:tc>
        <w:tc>
          <w:tcPr>
            <w:tcW w:w="324"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r>
    </w:tbl>
    <w:p>
      <w:pPr>
        <w:pStyle w:val="Normal"/>
        <w:rPr>
          <w:rFonts w:ascii="Aptos" w:hAnsi="Aptos" w:eastAsia="Times" w:cs="Arial"/>
          <w:b/>
          <w:color w:val="000000"/>
          <w:sz w:val="20"/>
          <w:szCs w:val="20"/>
          <w:lang w:eastAsia="en-GB"/>
        </w:rPr>
      </w:pPr>
      <w:r>
        <w:rPr>
          <w:rFonts w:eastAsia="Times" w:cs="Arial" w:ascii="Aptos" w:hAnsi="Aptos"/>
          <w:b/>
          <w:color w:val="000000"/>
          <w:sz w:val="20"/>
          <w:szCs w:val="20"/>
          <w:lang w:eastAsia="en-GB"/>
        </w:rPr>
      </w:r>
    </w:p>
    <w:tbl>
      <w:tblPr>
        <w:tblStyle w:val="TableGrid"/>
        <w:tblW w:w="8505"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8505"/>
      </w:tblGrid>
      <w:tr>
        <w:trPr>
          <w:trHeight w:val="147" w:hRule="atLeast"/>
        </w:trPr>
        <w:tc>
          <w:tcPr>
            <w:tcW w:w="8505" w:type="dxa"/>
            <w:tcBorders/>
            <w:shd w:color="auto" w:fill="F2F2F2" w:themeFill="background1" w:themeFillShade="f2" w:val="clear"/>
          </w:tcPr>
          <w:p>
            <w:pPr>
              <w:pStyle w:val="Normal"/>
              <w:widowControl/>
              <w:suppressAutoHyphens w:val="true"/>
              <w:spacing w:before="0" w:after="0"/>
              <w:jc w:val="left"/>
              <w:rPr>
                <w:rFonts w:ascii="Aptos" w:hAnsi="Aptos" w:cs="Arial"/>
                <w:sz w:val="20"/>
                <w:szCs w:val="20"/>
              </w:rPr>
            </w:pPr>
            <w:r>
              <w:rPr>
                <w:rFonts w:cs="Arial" w:ascii="Aptos" w:hAnsi="Aptos"/>
                <w:b/>
                <w:kern w:val="0"/>
                <w:sz w:val="20"/>
                <w:szCs w:val="20"/>
                <w:lang w:eastAsia="en-US" w:bidi="ar-SA"/>
              </w:rPr>
              <w:t xml:space="preserve">List the ICTV Study Group(s) that have seen or have been involved in creating this proposal: </w:t>
            </w:r>
            <w:hyperlink r:id="rId4">
              <w:r>
                <w:rPr>
                  <w:rStyle w:val="Hyperlink"/>
                  <w:kern w:val="0"/>
                  <w:sz w:val="24"/>
                  <w:szCs w:val="24"/>
                  <w:lang w:eastAsia="en-US" w:bidi="ar-SA"/>
                </w:rPr>
                <w:t>https://ictv.global/sc</w:t>
              </w:r>
            </w:hyperlink>
          </w:p>
        </w:tc>
      </w:tr>
      <w:tr>
        <w:trPr>
          <w:trHeight w:val="527" w:hRule="atLeast"/>
        </w:trPr>
        <w:tc>
          <w:tcPr>
            <w:tcW w:w="8505" w:type="dxa"/>
            <w:tcBorders/>
          </w:tcPr>
          <w:p>
            <w:pPr>
              <w:pStyle w:val="Heading3"/>
              <w:widowControl/>
              <w:suppressAutoHyphens w:val="true"/>
              <w:spacing w:before="0" w:after="0"/>
              <w:jc w:val="left"/>
              <w:rPr>
                <w:rFonts w:ascii="Aptos" w:hAnsi="Aptos" w:cs="Arial"/>
                <w:sz w:val="20"/>
                <w:szCs w:val="20"/>
              </w:rPr>
            </w:pPr>
            <w:r>
              <w:rPr>
                <w:rFonts w:cs="Arial" w:ascii="Aptos" w:hAnsi="Aptos"/>
                <w:sz w:val="20"/>
                <w:szCs w:val="20"/>
              </w:rPr>
            </w:r>
          </w:p>
          <w:p>
            <w:pPr>
              <w:pStyle w:val="Heading3"/>
              <w:widowControl/>
              <w:suppressAutoHyphens w:val="true"/>
              <w:spacing w:before="0" w:after="0"/>
              <w:jc w:val="left"/>
              <w:rPr>
                <w:kern w:val="0"/>
                <w:lang w:eastAsia="en-US" w:bidi="ar-SA"/>
              </w:rPr>
            </w:pPr>
            <w:r>
              <w:rPr>
                <w:rStyle w:val="Emphasis"/>
                <w:rFonts w:cs="Arial" w:ascii="Aptos" w:hAnsi="Aptos"/>
                <w:color w:themeColor="text1" w:val="000000"/>
                <w:kern w:val="0"/>
                <w:sz w:val="20"/>
                <w:szCs w:val="20"/>
                <w:lang w:val="en-US" w:eastAsia="en-US" w:bidi="ar-SA"/>
              </w:rPr>
              <w:t>Microviridae Study Group</w:t>
            </w:r>
          </w:p>
          <w:p>
            <w:pPr>
              <w:pStyle w:val="Normal"/>
              <w:widowControl/>
              <w:suppressAutoHyphens w:val="true"/>
              <w:spacing w:before="0" w:after="0"/>
              <w:jc w:val="left"/>
              <w:rPr>
                <w:rFonts w:ascii="Aptos" w:hAnsi="Aptos" w:cs="Arial"/>
                <w:sz w:val="20"/>
                <w:szCs w:val="20"/>
              </w:rPr>
            </w:pPr>
            <w:r>
              <w:rPr>
                <w:rFonts w:cs="Arial" w:ascii="Aptos" w:hAnsi="Aptos"/>
                <w:sz w:val="20"/>
                <w:szCs w:val="20"/>
              </w:rPr>
            </w:r>
          </w:p>
        </w:tc>
      </w:tr>
    </w:tbl>
    <w:tbl>
      <w:tblPr>
        <w:tblStyle w:val="TableGrid"/>
        <w:tblpPr w:vertAnchor="text" w:horzAnchor="margin" w:leftFromText="180" w:rightFromText="180" w:tblpX="108" w:tblpY="321"/>
        <w:tblW w:w="8505"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2411"/>
        <w:gridCol w:w="1982"/>
        <w:gridCol w:w="1985"/>
        <w:gridCol w:w="2126"/>
      </w:tblGrid>
      <w:tr>
        <w:trPr/>
        <w:tc>
          <w:tcPr>
            <w:tcW w:w="8504" w:type="dxa"/>
            <w:gridSpan w:val="4"/>
            <w:tcBorders/>
            <w:shd w:color="auto" w:fill="F2F2F2" w:themeFill="background1" w:themeFillShade="f2" w:val="clear"/>
          </w:tcPr>
          <w:p>
            <w:pPr>
              <w:pStyle w:val="Normal"/>
              <w:widowControl/>
              <w:suppressAutoHyphens w:val="true"/>
              <w:spacing w:before="0" w:after="0"/>
              <w:jc w:val="left"/>
              <w:rPr>
                <w:rFonts w:ascii="Aptos" w:hAnsi="Aptos" w:cs="Arial"/>
                <w:b/>
                <w:bCs/>
                <w:color w:val="000000"/>
                <w:sz w:val="20"/>
                <w:szCs w:val="20"/>
              </w:rPr>
            </w:pPr>
            <w:r>
              <w:rPr>
                <w:rFonts w:cs="Arial" w:ascii="Aptos" w:hAnsi="Aptos"/>
                <w:b/>
                <w:kern w:val="0"/>
                <w:sz w:val="20"/>
                <w:szCs w:val="20"/>
                <w:lang w:eastAsia="en-US" w:bidi="ar-SA"/>
              </w:rPr>
              <w:t>Optional – complete only if formally voted on by an ICTV Study Group:</w:t>
            </w:r>
          </w:p>
        </w:tc>
      </w:tr>
      <w:tr>
        <w:trPr/>
        <w:tc>
          <w:tcPr>
            <w:tcW w:w="2411" w:type="dxa"/>
            <w:vMerge w:val="restart"/>
            <w:tcBorders/>
            <w:shd w:color="auto" w:fill="F2F2F2" w:themeFill="background1" w:themeFillShade="f2" w:val="clear"/>
          </w:tcPr>
          <w:p>
            <w:pPr>
              <w:pStyle w:val="Normal"/>
              <w:widowControl/>
              <w:suppressAutoHyphens w:val="true"/>
              <w:spacing w:before="0" w:after="0"/>
              <w:jc w:val="left"/>
              <w:rPr>
                <w:rFonts w:ascii="Aptos" w:hAnsi="Aptos" w:cs="Arial"/>
                <w:b/>
                <w:bCs/>
                <w:color w:val="000000"/>
                <w:sz w:val="20"/>
                <w:szCs w:val="20"/>
              </w:rPr>
            </w:pPr>
            <w:r>
              <w:rPr>
                <w:rFonts w:cs="Arial" w:ascii="Aptos" w:hAnsi="Aptos"/>
                <w:b/>
                <w:bCs/>
                <w:color w:val="000000"/>
                <w:kern w:val="0"/>
                <w:sz w:val="20"/>
                <w:szCs w:val="20"/>
                <w:lang w:eastAsia="en-US" w:bidi="ar-SA"/>
              </w:rPr>
              <w:t>Study Group</w:t>
            </w:r>
          </w:p>
        </w:tc>
        <w:tc>
          <w:tcPr>
            <w:tcW w:w="6093" w:type="dxa"/>
            <w:gridSpan w:val="3"/>
            <w:tcBorders/>
            <w:shd w:color="auto" w:fill="F2F2F2" w:themeFill="background1" w:themeFillShade="f2" w:val="clear"/>
          </w:tcPr>
          <w:p>
            <w:pPr>
              <w:pStyle w:val="Normal"/>
              <w:widowControl/>
              <w:suppressAutoHyphens w:val="true"/>
              <w:spacing w:before="0" w:after="0"/>
              <w:jc w:val="center"/>
              <w:rPr>
                <w:rFonts w:ascii="Aptos" w:hAnsi="Aptos" w:cs="Arial"/>
                <w:b/>
                <w:bCs/>
                <w:color w:val="000000"/>
                <w:sz w:val="20"/>
                <w:szCs w:val="20"/>
              </w:rPr>
            </w:pPr>
            <w:r>
              <w:rPr>
                <w:rFonts w:cs="Arial" w:ascii="Aptos" w:hAnsi="Aptos"/>
                <w:b/>
                <w:bCs/>
                <w:color w:val="000000"/>
                <w:kern w:val="0"/>
                <w:sz w:val="20"/>
                <w:szCs w:val="20"/>
                <w:lang w:eastAsia="en-US" w:bidi="ar-SA"/>
              </w:rPr>
              <w:t>Number of members</w:t>
            </w:r>
          </w:p>
        </w:tc>
      </w:tr>
      <w:tr>
        <w:trPr/>
        <w:tc>
          <w:tcPr>
            <w:tcW w:w="2411" w:type="dxa"/>
            <w:vMerge w:val="continue"/>
            <w:tcBorders/>
            <w:shd w:color="auto" w:fill="F2F2F2" w:themeFill="background1" w:themeFillShade="f2" w:val="clear"/>
          </w:tcPr>
          <w:p>
            <w:pPr>
              <w:pStyle w:val="Normal"/>
              <w:widowControl/>
              <w:suppressAutoHyphens w:val="true"/>
              <w:spacing w:before="0" w:after="0"/>
              <w:jc w:val="left"/>
              <w:rPr>
                <w:rFonts w:ascii="Aptos" w:hAnsi="Aptos" w:cs="Arial"/>
                <w:sz w:val="20"/>
                <w:szCs w:val="20"/>
              </w:rPr>
            </w:pPr>
            <w:r>
              <w:rPr>
                <w:rFonts w:cs="Arial" w:ascii="Aptos" w:hAnsi="Aptos"/>
                <w:sz w:val="20"/>
                <w:szCs w:val="20"/>
              </w:rPr>
            </w:r>
          </w:p>
        </w:tc>
        <w:tc>
          <w:tcPr>
            <w:tcW w:w="1982" w:type="dxa"/>
            <w:tcBorders/>
            <w:shd w:color="auto" w:fill="F2F2F2" w:themeFill="background1" w:themeFillShade="f2" w:val="clear"/>
          </w:tcPr>
          <w:p>
            <w:pPr>
              <w:pStyle w:val="Normal"/>
              <w:widowControl/>
              <w:suppressAutoHyphens w:val="true"/>
              <w:spacing w:before="0" w:after="0"/>
              <w:jc w:val="center"/>
              <w:rPr>
                <w:rFonts w:ascii="Aptos" w:hAnsi="Aptos" w:cs="Arial"/>
                <w:b/>
                <w:bCs/>
                <w:sz w:val="20"/>
                <w:szCs w:val="20"/>
              </w:rPr>
            </w:pPr>
            <w:r>
              <w:rPr>
                <w:rFonts w:cs="Arial" w:ascii="Aptos" w:hAnsi="Aptos"/>
                <w:b/>
                <w:bCs/>
                <w:kern w:val="0"/>
                <w:sz w:val="20"/>
                <w:szCs w:val="20"/>
                <w:lang w:eastAsia="en-US" w:bidi="ar-SA"/>
              </w:rPr>
              <w:t>Votes in support</w:t>
            </w:r>
          </w:p>
        </w:tc>
        <w:tc>
          <w:tcPr>
            <w:tcW w:w="1985" w:type="dxa"/>
            <w:tcBorders/>
            <w:shd w:color="auto" w:fill="F2F2F2" w:themeFill="background1" w:themeFillShade="f2" w:val="clear"/>
          </w:tcPr>
          <w:p>
            <w:pPr>
              <w:pStyle w:val="Normal"/>
              <w:widowControl/>
              <w:suppressAutoHyphens w:val="true"/>
              <w:spacing w:before="0" w:after="0"/>
              <w:jc w:val="center"/>
              <w:rPr>
                <w:rFonts w:ascii="Aptos" w:hAnsi="Aptos" w:cs="Arial"/>
                <w:b/>
                <w:bCs/>
                <w:sz w:val="20"/>
                <w:szCs w:val="20"/>
              </w:rPr>
            </w:pPr>
            <w:r>
              <w:rPr>
                <w:rFonts w:cs="Arial" w:ascii="Aptos" w:hAnsi="Aptos"/>
                <w:b/>
                <w:bCs/>
                <w:kern w:val="0"/>
                <w:sz w:val="20"/>
                <w:szCs w:val="20"/>
                <w:lang w:eastAsia="en-US" w:bidi="ar-SA"/>
              </w:rPr>
              <w:t>Votes against</w:t>
            </w:r>
          </w:p>
        </w:tc>
        <w:tc>
          <w:tcPr>
            <w:tcW w:w="2126" w:type="dxa"/>
            <w:tcBorders/>
            <w:shd w:color="auto" w:fill="F2F2F2" w:themeFill="background1" w:themeFillShade="f2" w:val="clear"/>
          </w:tcPr>
          <w:p>
            <w:pPr>
              <w:pStyle w:val="Normal"/>
              <w:widowControl/>
              <w:suppressAutoHyphens w:val="true"/>
              <w:spacing w:before="0" w:after="0"/>
              <w:jc w:val="center"/>
              <w:rPr>
                <w:rFonts w:ascii="Aptos" w:hAnsi="Aptos" w:cs="Arial"/>
                <w:b/>
                <w:bCs/>
                <w:sz w:val="20"/>
                <w:szCs w:val="20"/>
              </w:rPr>
            </w:pPr>
            <w:r>
              <w:rPr>
                <w:rFonts w:cs="Arial" w:ascii="Aptos" w:hAnsi="Aptos"/>
                <w:b/>
                <w:bCs/>
                <w:kern w:val="0"/>
                <w:sz w:val="20"/>
                <w:szCs w:val="20"/>
                <w:lang w:eastAsia="en-US" w:bidi="ar-SA"/>
              </w:rPr>
              <w:t>No vote</w:t>
            </w:r>
          </w:p>
        </w:tc>
      </w:tr>
      <w:tr>
        <w:trPr/>
        <w:tc>
          <w:tcPr>
            <w:tcW w:w="2411" w:type="dxa"/>
            <w:tcBorders/>
          </w:tcPr>
          <w:p>
            <w:pPr>
              <w:pStyle w:val="Normal"/>
              <w:widowControl/>
              <w:suppressAutoHyphens w:val="true"/>
              <w:spacing w:before="0" w:after="0"/>
              <w:jc w:val="left"/>
              <w:rPr>
                <w:rFonts w:ascii="Aptos" w:hAnsi="Aptos" w:cs="Arial"/>
                <w:sz w:val="20"/>
                <w:szCs w:val="20"/>
              </w:rPr>
            </w:pPr>
            <w:r>
              <w:rPr>
                <w:rFonts w:cs="Arial" w:ascii="Aptos" w:hAnsi="Aptos"/>
                <w:sz w:val="20"/>
                <w:szCs w:val="20"/>
              </w:rPr>
            </w:r>
          </w:p>
        </w:tc>
        <w:tc>
          <w:tcPr>
            <w:tcW w:w="1982" w:type="dxa"/>
            <w:tcBorders/>
          </w:tcPr>
          <w:p>
            <w:pPr>
              <w:pStyle w:val="Normal"/>
              <w:widowControl/>
              <w:suppressAutoHyphens w:val="true"/>
              <w:spacing w:before="0" w:after="0"/>
              <w:jc w:val="left"/>
              <w:rPr>
                <w:rFonts w:ascii="Aptos" w:hAnsi="Aptos" w:cs="Arial"/>
                <w:sz w:val="20"/>
                <w:szCs w:val="20"/>
              </w:rPr>
            </w:pPr>
            <w:r>
              <w:rPr>
                <w:rFonts w:cs="Arial" w:ascii="Aptos" w:hAnsi="Aptos"/>
                <w:sz w:val="20"/>
                <w:szCs w:val="20"/>
              </w:rPr>
            </w:r>
          </w:p>
        </w:tc>
        <w:tc>
          <w:tcPr>
            <w:tcW w:w="1985" w:type="dxa"/>
            <w:tcBorders/>
          </w:tcPr>
          <w:p>
            <w:pPr>
              <w:pStyle w:val="Normal"/>
              <w:widowControl/>
              <w:suppressAutoHyphens w:val="true"/>
              <w:spacing w:before="0" w:after="0"/>
              <w:jc w:val="left"/>
              <w:rPr>
                <w:rFonts w:ascii="Aptos" w:hAnsi="Aptos" w:cs="Arial"/>
                <w:sz w:val="20"/>
                <w:szCs w:val="20"/>
              </w:rPr>
            </w:pPr>
            <w:r>
              <w:rPr>
                <w:rFonts w:cs="Arial" w:ascii="Aptos" w:hAnsi="Aptos"/>
                <w:sz w:val="20"/>
                <w:szCs w:val="20"/>
              </w:rPr>
            </w:r>
          </w:p>
        </w:tc>
        <w:tc>
          <w:tcPr>
            <w:tcW w:w="2126" w:type="dxa"/>
            <w:tcBorders/>
          </w:tcPr>
          <w:p>
            <w:pPr>
              <w:pStyle w:val="Normal"/>
              <w:widowControl/>
              <w:suppressAutoHyphens w:val="true"/>
              <w:spacing w:before="0" w:after="0"/>
              <w:jc w:val="left"/>
              <w:rPr>
                <w:rFonts w:ascii="Aptos" w:hAnsi="Aptos" w:cs="Arial"/>
                <w:sz w:val="20"/>
                <w:szCs w:val="20"/>
              </w:rPr>
            </w:pPr>
            <w:r>
              <w:rPr>
                <w:rFonts w:cs="Arial" w:ascii="Aptos" w:hAnsi="Aptos"/>
                <w:sz w:val="20"/>
                <w:szCs w:val="20"/>
              </w:rPr>
            </w:r>
          </w:p>
        </w:tc>
      </w:tr>
    </w:tbl>
    <w:p>
      <w:pPr>
        <w:pStyle w:val="Normal"/>
        <w:rPr>
          <w:rFonts w:ascii="Aptos" w:hAnsi="Aptos" w:cs="Arial"/>
          <w:b/>
          <w:bCs/>
          <w:sz w:val="20"/>
          <w:szCs w:val="20"/>
        </w:rPr>
      </w:pPr>
      <w:r>
        <w:rPr>
          <w:rFonts w:cs="Arial" w:ascii="Aptos" w:hAnsi="Aptos"/>
          <w:b/>
          <w:bCs/>
          <w:sz w:val="20"/>
          <w:szCs w:val="20"/>
        </w:rPr>
      </w:r>
    </w:p>
    <w:p>
      <w:pPr>
        <w:pStyle w:val="Normal"/>
        <w:rPr>
          <w:rFonts w:ascii="Aptos" w:hAnsi="Aptos" w:cs="Arial"/>
          <w:b/>
          <w:bCs/>
          <w:sz w:val="20"/>
          <w:szCs w:val="20"/>
        </w:rPr>
      </w:pPr>
      <w:r>
        <w:rPr>
          <w:rFonts w:cs="Arial" w:ascii="Aptos" w:hAnsi="Aptos"/>
          <w:b/>
          <w:bCs/>
          <w:sz w:val="20"/>
          <w:szCs w:val="20"/>
        </w:rPr>
      </w:r>
    </w:p>
    <w:p>
      <w:pPr>
        <w:pStyle w:val="Normal"/>
        <w:rPr>
          <w:rFonts w:ascii="Aptos" w:hAnsi="Aptos" w:cs="Arial"/>
          <w:b/>
          <w:bCs/>
          <w:sz w:val="20"/>
          <w:szCs w:val="20"/>
        </w:rPr>
      </w:pPr>
      <w:r>
        <w:rPr>
          <w:rFonts w:cs="Arial" w:ascii="Aptos" w:hAnsi="Aptos"/>
          <w:b/>
          <w:bCs/>
          <w:sz w:val="20"/>
          <w:szCs w:val="20"/>
        </w:rPr>
      </w:r>
    </w:p>
    <w:p>
      <w:pPr>
        <w:pStyle w:val="Normal"/>
        <w:rPr>
          <w:rFonts w:ascii="Aptos" w:hAnsi="Aptos" w:cs="Arial"/>
          <w:b/>
          <w:bCs/>
          <w:sz w:val="20"/>
          <w:szCs w:val="20"/>
        </w:rPr>
      </w:pPr>
      <w:r>
        <w:rPr>
          <w:rFonts w:cs="Arial" w:ascii="Aptos" w:hAnsi="Aptos"/>
          <w:b/>
          <w:bCs/>
          <w:sz w:val="20"/>
          <w:szCs w:val="20"/>
        </w:rPr>
      </w:r>
    </w:p>
    <w:p>
      <w:pPr>
        <w:pStyle w:val="Normal"/>
        <w:rPr>
          <w:rFonts w:ascii="Aptos" w:hAnsi="Aptos" w:cs="Arial"/>
          <w:b/>
          <w:bCs/>
          <w:sz w:val="20"/>
          <w:szCs w:val="20"/>
        </w:rPr>
      </w:pPr>
      <w:r>
        <w:rPr>
          <w:rFonts w:cs="Arial" w:ascii="Aptos" w:hAnsi="Aptos"/>
          <w:b/>
          <w:bCs/>
          <w:sz w:val="20"/>
          <w:szCs w:val="20"/>
        </w:rPr>
      </w:r>
    </w:p>
    <w:p>
      <w:pPr>
        <w:pStyle w:val="Normal"/>
        <w:rPr>
          <w:rFonts w:ascii="Aptos" w:hAnsi="Aptos" w:cs="Arial"/>
          <w:b/>
          <w:bCs/>
          <w:sz w:val="20"/>
          <w:szCs w:val="20"/>
        </w:rPr>
      </w:pPr>
      <w:r>
        <w:rPr>
          <w:rFonts w:cs="Arial" w:ascii="Aptos" w:hAnsi="Aptos"/>
          <w:b/>
          <w:bCs/>
          <w:sz w:val="20"/>
          <w:szCs w:val="20"/>
        </w:rPr>
      </w:r>
    </w:p>
    <w:tbl>
      <w:tblPr>
        <w:tblStyle w:val="TableGrid"/>
        <w:tblpPr w:vertAnchor="text" w:horzAnchor="margin" w:leftFromText="180" w:rightFromText="180" w:tblpX="108" w:tblpY="-9"/>
        <w:tblW w:w="3969"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2267"/>
        <w:gridCol w:w="1701"/>
      </w:tblGrid>
      <w:tr>
        <w:trPr>
          <w:trHeight w:val="244" w:hRule="atLeast"/>
        </w:trPr>
        <w:tc>
          <w:tcPr>
            <w:tcW w:w="2267" w:type="dxa"/>
            <w:tcBorders/>
            <w:shd w:color="auto" w:fill="F2F2F2" w:themeFill="background1" w:themeFillShade="f2" w:val="clear"/>
          </w:tcPr>
          <w:p>
            <w:pPr>
              <w:pStyle w:val="Normal"/>
              <w:widowControl/>
              <w:suppressAutoHyphens w:val="true"/>
              <w:spacing w:before="0" w:after="0"/>
              <w:ind w:left="174"/>
              <w:jc w:val="left"/>
              <w:rPr>
                <w:rFonts w:ascii="Aptos" w:hAnsi="Aptos" w:cs="Arial"/>
                <w:bCs/>
                <w:sz w:val="20"/>
                <w:szCs w:val="20"/>
              </w:rPr>
            </w:pPr>
            <w:r>
              <w:rPr>
                <w:rFonts w:cs="Arial" w:ascii="Aptos" w:hAnsi="Aptos"/>
                <w:b/>
                <w:bCs/>
                <w:kern w:val="0"/>
                <w:sz w:val="20"/>
                <w:szCs w:val="20"/>
                <w:lang w:eastAsia="en-US" w:bidi="ar-SA"/>
              </w:rPr>
              <w:t>Submission date:</w:t>
            </w:r>
          </w:p>
        </w:tc>
        <w:tc>
          <w:tcPr>
            <w:tcW w:w="1701" w:type="dxa"/>
            <w:tcBorders/>
          </w:tcPr>
          <w:p>
            <w:pPr>
              <w:pStyle w:val="Normal"/>
              <w:widowControl/>
              <w:suppressAutoHyphens w:val="true"/>
              <w:spacing w:before="0" w:after="0"/>
              <w:jc w:val="left"/>
              <w:rPr>
                <w:rFonts w:ascii="Aptos" w:hAnsi="Aptos" w:cs="Arial"/>
                <w:bCs/>
                <w:color w:themeColor="text1" w:val="000000"/>
                <w:sz w:val="20"/>
                <w:szCs w:val="20"/>
              </w:rPr>
            </w:pPr>
            <w:r>
              <w:rPr>
                <w:rFonts w:cs="Arial" w:ascii="Aptos" w:hAnsi="Aptos"/>
                <w:bCs/>
                <w:kern w:val="0"/>
                <w:sz w:val="20"/>
                <w:szCs w:val="20"/>
                <w:lang w:eastAsia="en-US" w:bidi="ar-SA"/>
              </w:rPr>
              <w:t xml:space="preserve">  </w:t>
            </w:r>
            <w:r>
              <w:rPr>
                <w:rFonts w:cs="Arial" w:ascii="Aptos" w:hAnsi="Aptos"/>
                <w:bCs/>
                <w:kern w:val="0"/>
                <w:sz w:val="20"/>
                <w:szCs w:val="20"/>
                <w:lang w:eastAsia="en-US" w:bidi="ar-SA"/>
              </w:rPr>
              <w:t>20/06/2025</w:t>
            </w:r>
          </w:p>
        </w:tc>
      </w:tr>
    </w:tbl>
    <w:p>
      <w:pPr>
        <w:pStyle w:val="Normal"/>
        <w:rPr>
          <w:rFonts w:ascii="Aptos" w:hAnsi="Aptos" w:cs="Arial"/>
          <w:b/>
          <w:sz w:val="20"/>
          <w:szCs w:val="20"/>
        </w:rPr>
      </w:pPr>
      <w:r>
        <w:rPr>
          <w:rFonts w:cs="Arial" w:ascii="Aptos" w:hAnsi="Aptos"/>
          <w:b/>
          <w:sz w:val="20"/>
          <w:szCs w:val="20"/>
        </w:rPr>
      </w:r>
    </w:p>
    <w:p>
      <w:pPr>
        <w:pStyle w:val="Normal"/>
        <w:ind w:right="828"/>
        <w:rPr>
          <w:rFonts w:ascii="Aptos" w:hAnsi="Aptos" w:cs="Arial"/>
          <w:b/>
          <w:sz w:val="20"/>
          <w:szCs w:val="20"/>
        </w:rPr>
      </w:pPr>
      <w:r>
        <w:rPr>
          <w:rFonts w:cs="Arial" w:ascii="Aptos" w:hAnsi="Aptos"/>
          <w:b/>
          <w:sz w:val="20"/>
          <w:szCs w:val="20"/>
        </w:rPr>
      </w:r>
    </w:p>
    <w:p>
      <w:pPr>
        <w:pStyle w:val="Normal"/>
        <w:spacing w:before="0" w:after="120"/>
        <w:ind w:right="828"/>
        <w:rPr>
          <w:rFonts w:ascii="Aptos" w:hAnsi="Aptos" w:cs="Arial"/>
          <w:color w:val="0070C0"/>
          <w:sz w:val="20"/>
          <w:szCs w:val="20"/>
        </w:rPr>
      </w:pPr>
      <w:r>
        <w:rPr>
          <w:rFonts w:cs="Arial" w:ascii="Aptos" w:hAnsi="Aptos"/>
          <w:b/>
          <w:sz w:val="20"/>
          <w:szCs w:val="20"/>
        </w:rPr>
        <w:t xml:space="preserve">Part 1c: Feedback from ICTV Executive Committee (EC) meeting </w:t>
      </w:r>
    </w:p>
    <w:tbl>
      <w:tblPr>
        <w:tblStyle w:val="TableGrid"/>
        <w:tblW w:w="8505"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8079"/>
        <w:gridCol w:w="425"/>
      </w:tblGrid>
      <w:tr>
        <w:trPr/>
        <w:tc>
          <w:tcPr>
            <w:tcW w:w="8079" w:type="dxa"/>
            <w:tcBorders/>
            <w:shd w:color="auto" w:fill="F2F2F2" w:themeFill="background1" w:themeFillShade="f2" w:val="clear"/>
          </w:tcPr>
          <w:p>
            <w:pPr>
              <w:pStyle w:val="Normal"/>
              <w:widowControl/>
              <w:suppressAutoHyphens w:val="true"/>
              <w:spacing w:before="0" w:after="0"/>
              <w:jc w:val="left"/>
              <w:rPr>
                <w:rFonts w:ascii="Aptos" w:hAnsi="Aptos" w:eastAsia="Times" w:cs="Arial"/>
                <w:b/>
                <w:color w:val="000000"/>
                <w:sz w:val="20"/>
                <w:szCs w:val="20"/>
                <w:lang w:eastAsia="en-GB"/>
              </w:rPr>
            </w:pPr>
            <w:r>
              <w:rPr>
                <w:rFonts w:cs="Arial" w:ascii="Aptos" w:hAnsi="Aptos"/>
                <w:b/>
                <w:kern w:val="0"/>
                <w:sz w:val="20"/>
                <w:szCs w:val="20"/>
                <w:lang w:eastAsia="en-US" w:bidi="ar-SA"/>
              </w:rPr>
              <w:t xml:space="preserve">Executive Committee Meeting Decision </w:t>
            </w:r>
            <w:r>
              <w:rPr>
                <w:rFonts w:eastAsia="Times" w:cs="Arial" w:ascii="Aptos" w:hAnsi="Aptos"/>
                <w:b/>
                <w:color w:val="000000"/>
                <w:kern w:val="0"/>
                <w:sz w:val="20"/>
                <w:szCs w:val="20"/>
                <w:lang w:eastAsia="en-GB" w:bidi="ar-SA"/>
              </w:rPr>
              <w:t>code:</w:t>
            </w:r>
          </w:p>
        </w:tc>
        <w:tc>
          <w:tcPr>
            <w:tcW w:w="425" w:type="dxa"/>
            <w:tcBorders/>
          </w:tcPr>
          <w:p>
            <w:pPr>
              <w:pStyle w:val="Normal"/>
              <w:widowControl/>
              <w:suppressAutoHyphens w:val="true"/>
              <w:spacing w:before="0" w:after="0"/>
              <w:jc w:val="left"/>
              <w:rPr>
                <w:rFonts w:ascii="Aptos" w:hAnsi="Aptos" w:eastAsia="Times" w:cs="Arial"/>
                <w:b/>
                <w:color w:themeColor="background1" w:themeShade="a6" w:val="A6A6A6"/>
                <w:sz w:val="20"/>
                <w:szCs w:val="20"/>
                <w:lang w:eastAsia="en-GB"/>
              </w:rPr>
            </w:pPr>
            <w:r>
              <w:rPr>
                <w:rFonts w:eastAsia="Times" w:cs="Arial" w:ascii="Aptos" w:hAnsi="Aptos"/>
                <w:b/>
                <w:color w:themeColor="background1" w:themeShade="a6" w:val="A6A6A6"/>
                <w:kern w:val="0"/>
                <w:sz w:val="20"/>
                <w:szCs w:val="20"/>
                <w:lang w:eastAsia="en-GB" w:bidi="ar-SA"/>
              </w:rPr>
              <w:t>X</w:t>
            </w:r>
          </w:p>
        </w:tc>
      </w:tr>
      <w:tr>
        <w:trPr/>
        <w:tc>
          <w:tcPr>
            <w:tcW w:w="8079"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A – Accept</w:t>
            </w:r>
          </w:p>
        </w:tc>
        <w:tc>
          <w:tcPr>
            <w:tcW w:w="425"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r>
      <w:tr>
        <w:trPr/>
        <w:tc>
          <w:tcPr>
            <w:tcW w:w="8079"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Ac – Accept subject to revision by relevant subcommittee chair. No further vote required</w:t>
            </w:r>
          </w:p>
        </w:tc>
        <w:tc>
          <w:tcPr>
            <w:tcW w:w="425" w:type="dxa"/>
            <w:tcBorders/>
          </w:tcPr>
          <w:p>
            <w:pPr>
              <w:pStyle w:val="Normal"/>
              <w:widowControl/>
              <w:suppressAutoHyphens w:val="true"/>
              <w:spacing w:before="0" w:after="0"/>
              <w:jc w:val="left"/>
              <w:rPr>
                <w:rFonts w:ascii="Aptos" w:hAnsi="Aptos" w:eastAsia="Times" w:cs="Arial"/>
                <w:b/>
                <w:bCs/>
                <w:color w:val="000000"/>
                <w:sz w:val="20"/>
                <w:szCs w:val="20"/>
                <w:lang w:eastAsia="en-GB"/>
              </w:rPr>
            </w:pPr>
            <w:r>
              <w:rPr>
                <w:rFonts w:eastAsia="Times" w:cs="Arial" w:ascii="Aptos" w:hAnsi="Aptos"/>
                <w:b/>
                <w:bCs/>
                <w:color w:themeColor="text1" w:val="000000"/>
                <w:kern w:val="0"/>
                <w:sz w:val="20"/>
                <w:szCs w:val="20"/>
                <w:lang w:eastAsia="en-GB" w:bidi="ar-SA"/>
              </w:rPr>
              <w:t>x</w:t>
            </w:r>
          </w:p>
        </w:tc>
      </w:tr>
      <w:tr>
        <w:trPr/>
        <w:tc>
          <w:tcPr>
            <w:tcW w:w="8079"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U – Accept without revision but with re-evaluation and email vote by the EC</w:t>
            </w:r>
          </w:p>
        </w:tc>
        <w:tc>
          <w:tcPr>
            <w:tcW w:w="425"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r>
      <w:tr>
        <w:trPr/>
        <w:tc>
          <w:tcPr>
            <w:tcW w:w="8079"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Uc – Accept subject to revision and re-evaluation and email vote by the EC</w:t>
            </w:r>
          </w:p>
        </w:tc>
        <w:tc>
          <w:tcPr>
            <w:tcW w:w="425"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r>
      <w:tr>
        <w:trPr/>
        <w:tc>
          <w:tcPr>
            <w:tcW w:w="8079"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Ud – Deferred to the next EC meeting, with an invitation to revise based on EC comments</w:t>
            </w:r>
          </w:p>
        </w:tc>
        <w:tc>
          <w:tcPr>
            <w:tcW w:w="425"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r>
      <w:tr>
        <w:trPr/>
        <w:tc>
          <w:tcPr>
            <w:tcW w:w="8079"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J - Reject</w:t>
            </w:r>
          </w:p>
        </w:tc>
        <w:tc>
          <w:tcPr>
            <w:tcW w:w="425"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r>
      <w:tr>
        <w:trPr/>
        <w:tc>
          <w:tcPr>
            <w:tcW w:w="8079"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W - Withdrawn</w:t>
            </w:r>
          </w:p>
        </w:tc>
        <w:tc>
          <w:tcPr>
            <w:tcW w:w="425"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r>
    </w:tbl>
    <w:p>
      <w:pPr>
        <w:pStyle w:val="Normal"/>
        <w:rPr>
          <w:rFonts w:ascii="Aptos" w:hAnsi="Aptos" w:eastAsia="Times" w:cs="Arial"/>
          <w:b/>
          <w:color w:val="000000"/>
          <w:sz w:val="20"/>
          <w:szCs w:val="20"/>
          <w:lang w:eastAsia="en-GB"/>
        </w:rPr>
      </w:pPr>
      <w:r>
        <w:rPr>
          <w:rFonts w:eastAsia="Times" w:cs="Arial" w:ascii="Aptos" w:hAnsi="Aptos"/>
          <w:b/>
          <w:color w:val="000000"/>
          <w:sz w:val="20"/>
          <w:szCs w:val="20"/>
          <w:lang w:eastAsia="en-GB"/>
        </w:rPr>
      </w:r>
    </w:p>
    <w:tbl>
      <w:tblPr>
        <w:tblStyle w:val="TableGrid"/>
        <w:tblW w:w="8505"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8505"/>
      </w:tblGrid>
      <w:tr>
        <w:trPr>
          <w:trHeight w:val="211" w:hRule="atLeast"/>
        </w:trPr>
        <w:tc>
          <w:tcPr>
            <w:tcW w:w="8505" w:type="dxa"/>
            <w:tcBorders/>
            <w:shd w:color="auto" w:fill="F2F2F2" w:themeFill="background1" w:themeFillShade="f2" w:val="clear"/>
          </w:tcPr>
          <w:p>
            <w:pPr>
              <w:pStyle w:val="Normal"/>
              <w:widowControl/>
              <w:suppressAutoHyphens w:val="true"/>
              <w:spacing w:before="0" w:after="0"/>
              <w:jc w:val="left"/>
              <w:rPr>
                <w:rFonts w:ascii="Aptos" w:hAnsi="Aptos" w:cs="Arial"/>
                <w:sz w:val="20"/>
                <w:szCs w:val="20"/>
              </w:rPr>
            </w:pPr>
            <w:r>
              <w:rPr>
                <w:rFonts w:cs="Arial" w:ascii="Aptos" w:hAnsi="Aptos"/>
                <w:b/>
                <w:kern w:val="0"/>
                <w:sz w:val="20"/>
                <w:szCs w:val="20"/>
                <w:lang w:eastAsia="en-US" w:bidi="ar-SA"/>
              </w:rPr>
              <w:t>Comments from the Executive Committee:</w:t>
            </w:r>
          </w:p>
        </w:tc>
      </w:tr>
      <w:tr>
        <w:trPr>
          <w:trHeight w:val="794" w:hRule="atLeast"/>
        </w:trPr>
        <w:tc>
          <w:tcPr>
            <w:tcW w:w="8505" w:type="dxa"/>
            <w:tcBorders/>
          </w:tcPr>
          <w:p>
            <w:pPr>
              <w:pStyle w:val="Normal"/>
              <w:widowControl/>
              <w:suppressAutoHyphens w:val="true"/>
              <w:spacing w:before="0" w:after="0"/>
              <w:jc w:val="left"/>
              <w:rPr>
                <w:rFonts w:ascii="Aptos" w:hAnsi="Aptos" w:cs="Arial"/>
                <w:sz w:val="20"/>
                <w:szCs w:val="20"/>
              </w:rPr>
            </w:pPr>
            <w:r>
              <w:rPr>
                <w:rFonts w:cs="Arial" w:ascii="Aptos" w:hAnsi="Aptos"/>
                <w:kern w:val="0"/>
                <w:sz w:val="20"/>
                <w:szCs w:val="20"/>
                <w:lang w:eastAsia="en-US" w:bidi="ar-SA"/>
              </w:rPr>
              <w:t>Can you make the description of the current taxonomy more succinct? There is no need to list all species names.</w:t>
            </w:r>
          </w:p>
          <w:p>
            <w:pPr>
              <w:pStyle w:val="Normal"/>
              <w:widowControl/>
              <w:suppressAutoHyphens w:val="true"/>
              <w:spacing w:before="0" w:after="0"/>
              <w:jc w:val="left"/>
              <w:rPr>
                <w:rFonts w:ascii="Aptos" w:hAnsi="Aptos" w:cs="Arial"/>
                <w:sz w:val="20"/>
                <w:szCs w:val="20"/>
              </w:rPr>
            </w:pPr>
            <w:r>
              <w:rPr>
                <w:rFonts w:cs="Arial" w:ascii="Aptos" w:hAnsi="Aptos"/>
                <w:sz w:val="20"/>
                <w:szCs w:val="20"/>
              </w:rPr>
            </w:r>
          </w:p>
        </w:tc>
      </w:tr>
    </w:tbl>
    <w:p>
      <w:pPr>
        <w:pStyle w:val="Normal"/>
        <w:rPr>
          <w:rFonts w:ascii="Aptos" w:hAnsi="Aptos" w:cs="Arial"/>
          <w:b/>
          <w:sz w:val="20"/>
          <w:szCs w:val="20"/>
        </w:rPr>
      </w:pPr>
      <w:r>
        <w:rPr>
          <w:rFonts w:cs="Arial" w:ascii="Aptos" w:hAnsi="Aptos"/>
          <w:b/>
          <w:sz w:val="20"/>
          <w:szCs w:val="20"/>
        </w:rPr>
      </w:r>
    </w:p>
    <w:p>
      <w:pPr>
        <w:pStyle w:val="Normal"/>
        <w:spacing w:before="0" w:after="120"/>
        <w:rPr>
          <w:rFonts w:ascii="Aptos" w:hAnsi="Aptos" w:cs="Arial"/>
          <w:b/>
          <w:sz w:val="20"/>
          <w:szCs w:val="20"/>
        </w:rPr>
      </w:pPr>
      <w:r>
        <w:rPr>
          <w:rFonts w:cs="Arial" w:ascii="Aptos" w:hAnsi="Aptos"/>
          <w:b/>
          <w:sz w:val="20"/>
          <w:szCs w:val="20"/>
        </w:rPr>
        <w:t xml:space="preserve">Part 1d: Revised Taxonomy Proposal Submission </w:t>
      </w:r>
    </w:p>
    <w:tbl>
      <w:tblPr>
        <w:tblStyle w:val="TableGrid"/>
        <w:tblW w:w="8505"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8505"/>
      </w:tblGrid>
      <w:tr>
        <w:trPr/>
        <w:tc>
          <w:tcPr>
            <w:tcW w:w="8505" w:type="dxa"/>
            <w:tcBorders/>
            <w:shd w:color="auto" w:fill="F2F2F2" w:themeFill="background1" w:themeFillShade="f2" w:val="clear"/>
          </w:tcPr>
          <w:p>
            <w:pPr>
              <w:pStyle w:val="Normal"/>
              <w:widowControl/>
              <w:suppressAutoHyphens w:val="true"/>
              <w:spacing w:before="0" w:after="0"/>
              <w:jc w:val="left"/>
              <w:rPr>
                <w:rFonts w:ascii="Aptos" w:hAnsi="Aptos" w:cs="Arial"/>
                <w:sz w:val="20"/>
                <w:szCs w:val="20"/>
              </w:rPr>
            </w:pPr>
            <w:r>
              <w:rPr>
                <w:rFonts w:cs="Arial" w:ascii="Aptos" w:hAnsi="Aptos"/>
                <w:b/>
                <w:kern w:val="0"/>
                <w:sz w:val="20"/>
                <w:szCs w:val="20"/>
                <w:lang w:eastAsia="en-US" w:bidi="ar-SA"/>
              </w:rPr>
              <w:t>Response of proposer:</w:t>
            </w:r>
          </w:p>
        </w:tc>
      </w:tr>
      <w:tr>
        <w:trPr/>
        <w:tc>
          <w:tcPr>
            <w:tcW w:w="8505" w:type="dxa"/>
            <w:tcBorders/>
          </w:tcPr>
          <w:p>
            <w:pPr>
              <w:pStyle w:val="Normal"/>
              <w:widowControl/>
              <w:suppressAutoHyphens w:val="true"/>
              <w:spacing w:before="0" w:after="0"/>
              <w:jc w:val="left"/>
              <w:rPr>
                <w:rFonts w:ascii="Aptos" w:hAnsi="Aptos" w:cs="Arial"/>
                <w:sz w:val="20"/>
                <w:szCs w:val="20"/>
              </w:rPr>
            </w:pPr>
            <w:r>
              <w:rPr>
                <w:rFonts w:cs="Arial" w:ascii="Aptos" w:hAnsi="Aptos"/>
                <w:sz w:val="20"/>
                <w:szCs w:val="20"/>
              </w:rPr>
            </w:r>
          </w:p>
          <w:p>
            <w:pPr>
              <w:pStyle w:val="Normal"/>
              <w:widowControl/>
              <w:suppressAutoHyphens w:val="true"/>
              <w:spacing w:before="0" w:after="0"/>
              <w:jc w:val="left"/>
              <w:rPr>
                <w:rFonts w:ascii="Aptos" w:hAnsi="Aptos" w:cs="Arial"/>
                <w:color w:val="C9211E"/>
                <w:kern w:val="0"/>
                <w:sz w:val="20"/>
                <w:szCs w:val="20"/>
                <w:lang w:eastAsia="en-US" w:bidi="ar-SA"/>
              </w:rPr>
            </w:pPr>
            <w:r>
              <w:rPr>
                <w:rFonts w:cs="Arial" w:ascii="Aptos" w:hAnsi="Aptos"/>
                <w:color w:val="C9211E"/>
                <w:kern w:val="0"/>
                <w:sz w:val="20"/>
                <w:szCs w:val="20"/>
                <w:lang w:eastAsia="en-US" w:bidi="ar-SA"/>
              </w:rPr>
              <w:t>The description of the current taxonomy has been modified, listing only the single family, the two subfamilies, and the seven genera</w:t>
            </w:r>
          </w:p>
          <w:p>
            <w:pPr>
              <w:pStyle w:val="Normal"/>
              <w:widowControl/>
              <w:suppressAutoHyphens w:val="true"/>
              <w:spacing w:before="0" w:after="0"/>
              <w:jc w:val="left"/>
              <w:rPr>
                <w:rFonts w:ascii="Aptos" w:hAnsi="Aptos" w:cs="Arial"/>
                <w:color w:val="C9211E"/>
                <w:kern w:val="0"/>
                <w:sz w:val="20"/>
                <w:szCs w:val="20"/>
                <w:lang w:eastAsia="en-US" w:bidi="ar-SA"/>
              </w:rPr>
            </w:pPr>
            <w:r>
              <w:rPr>
                <w:rFonts w:cs="Arial" w:ascii="Aptos" w:hAnsi="Aptos"/>
                <w:color w:val="C9211E"/>
                <w:kern w:val="0"/>
                <w:sz w:val="20"/>
                <w:szCs w:val="20"/>
                <w:lang w:eastAsia="en-US" w:bidi="ar-SA"/>
              </w:rPr>
            </w:r>
          </w:p>
        </w:tc>
      </w:tr>
    </w:tbl>
    <w:tbl>
      <w:tblPr>
        <w:tblStyle w:val="TableGrid"/>
        <w:tblpPr w:vertAnchor="text" w:horzAnchor="margin" w:leftFromText="180" w:rightFromText="180" w:tblpX="108" w:tblpY="234"/>
        <w:tblW w:w="3823"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1979"/>
        <w:gridCol w:w="1843"/>
      </w:tblGrid>
      <w:tr>
        <w:trPr>
          <w:trHeight w:val="244" w:hRule="atLeast"/>
        </w:trPr>
        <w:tc>
          <w:tcPr>
            <w:tcW w:w="1979" w:type="dxa"/>
            <w:tcBorders/>
            <w:shd w:color="auto" w:fill="F2F2F2" w:themeFill="background1" w:themeFillShade="f2" w:val="clear"/>
          </w:tcPr>
          <w:p>
            <w:pPr>
              <w:pStyle w:val="Normal"/>
              <w:widowControl/>
              <w:suppressAutoHyphens w:val="true"/>
              <w:spacing w:before="0" w:after="0"/>
              <w:ind w:left="174"/>
              <w:jc w:val="left"/>
              <w:rPr>
                <w:rFonts w:ascii="Aptos" w:hAnsi="Aptos" w:cs="Arial"/>
                <w:bCs/>
                <w:sz w:val="20"/>
                <w:szCs w:val="20"/>
              </w:rPr>
            </w:pPr>
            <w:r>
              <w:rPr>
                <w:rFonts w:cs="Arial" w:ascii="Aptos" w:hAnsi="Aptos"/>
                <w:b/>
                <w:bCs/>
                <w:kern w:val="0"/>
                <w:sz w:val="20"/>
                <w:szCs w:val="20"/>
                <w:lang w:eastAsia="en-US" w:bidi="ar-SA"/>
              </w:rPr>
              <w:t>Revision date:</w:t>
            </w:r>
          </w:p>
        </w:tc>
        <w:tc>
          <w:tcPr>
            <w:tcW w:w="1843" w:type="dxa"/>
            <w:tcBorders/>
          </w:tcPr>
          <w:p>
            <w:pPr>
              <w:pStyle w:val="Normal"/>
              <w:widowControl/>
              <w:suppressAutoHyphens w:val="true"/>
              <w:spacing w:before="0" w:after="0"/>
              <w:jc w:val="left"/>
              <w:rPr>
                <w:rFonts w:ascii="Aptos" w:hAnsi="Aptos" w:cs="Arial"/>
                <w:bCs/>
                <w:color w:val="C9211E"/>
                <w:kern w:val="0"/>
                <w:sz w:val="20"/>
                <w:szCs w:val="20"/>
                <w:lang w:eastAsia="en-US" w:bidi="ar-SA"/>
              </w:rPr>
            </w:pPr>
            <w:r>
              <w:rPr>
                <w:rFonts w:cs="Arial" w:ascii="Aptos" w:hAnsi="Aptos"/>
                <w:bCs/>
                <w:color w:val="C9211E"/>
                <w:kern w:val="0"/>
                <w:sz w:val="20"/>
                <w:szCs w:val="20"/>
                <w:lang w:eastAsia="en-US" w:bidi="ar-SA"/>
              </w:rPr>
              <w:t>29/08/2025</w:t>
            </w:r>
          </w:p>
        </w:tc>
      </w:tr>
    </w:tbl>
    <w:p>
      <w:pPr>
        <w:pStyle w:val="Normal"/>
        <w:ind w:firstLine="720"/>
        <w:rPr>
          <w:rFonts w:ascii="Aptos" w:hAnsi="Aptos" w:cs="Arial"/>
          <w:b/>
          <w:bCs/>
          <w:sz w:val="20"/>
          <w:szCs w:val="20"/>
        </w:rPr>
      </w:pPr>
      <w:r>
        <w:rPr>
          <w:rFonts w:cs="Arial" w:ascii="Aptos" w:hAnsi="Aptos"/>
          <w:b/>
          <w:bCs/>
          <w:sz w:val="20"/>
          <w:szCs w:val="20"/>
        </w:rPr>
      </w:r>
    </w:p>
    <w:p>
      <w:pPr>
        <w:pStyle w:val="Normal"/>
        <w:rPr>
          <w:rFonts w:ascii="Aptos" w:hAnsi="Aptos" w:cs="Arial"/>
          <w:color w:val="C00000"/>
          <w:sz w:val="20"/>
          <w:szCs w:val="20"/>
        </w:rPr>
      </w:pPr>
      <w:r>
        <w:rPr>
          <w:rFonts w:cs="Arial" w:ascii="Aptos" w:hAnsi="Aptos"/>
          <w:color w:val="C00000"/>
          <w:sz w:val="20"/>
          <w:szCs w:val="20"/>
        </w:rPr>
      </w:r>
      <w:r>
        <w:br w:type="page"/>
      </w:r>
    </w:p>
    <w:p>
      <w:pPr>
        <w:pStyle w:val="BodyTextIndent"/>
        <w:spacing w:before="0" w:after="0"/>
        <w:ind w:hanging="0" w:left="0"/>
        <w:rPr>
          <w:rFonts w:ascii="Aptos" w:hAnsi="Aptos" w:cs="Arial"/>
          <w:color w:val="000000"/>
          <w:sz w:val="20"/>
        </w:rPr>
      </w:pPr>
      <w:r>
        <w:rPr>
          <w:rFonts w:cs="Arial" w:ascii="Aptos" w:hAnsi="Aptos"/>
          <w:b/>
          <w:color w:val="000000"/>
          <w:sz w:val="20"/>
        </w:rPr>
        <w:t>Part 3:</w:t>
      </w:r>
      <w:r>
        <w:rPr>
          <w:rFonts w:cs="Arial" w:ascii="Aptos" w:hAnsi="Aptos"/>
          <w:color w:val="000000"/>
          <w:sz w:val="20"/>
        </w:rPr>
        <w:t xml:space="preserve"> </w:t>
      </w:r>
      <w:r>
        <w:rPr>
          <w:rFonts w:cs="Arial" w:ascii="Aptos" w:hAnsi="Aptos"/>
          <w:b/>
          <w:color w:val="000000"/>
          <w:sz w:val="20"/>
        </w:rPr>
        <w:t>TAXONOMIC PROPOSAL</w:t>
      </w:r>
    </w:p>
    <w:p>
      <w:pPr>
        <w:pStyle w:val="BodyTextIndent"/>
        <w:ind w:hanging="15" w:left="0"/>
        <w:rPr>
          <w:rFonts w:ascii="Aptos" w:hAnsi="Aptos" w:cs="Arial"/>
          <w:b/>
          <w:color w:val="000000"/>
          <w:sz w:val="20"/>
        </w:rPr>
      </w:pPr>
      <w:hyperlink r:id="rId5">
        <w:r>
          <w:rPr>
            <w:rStyle w:val="Hyperlink"/>
            <w:rFonts w:cs="Arial" w:ascii="Aptos" w:hAnsi="Aptos"/>
            <w:sz w:val="20"/>
          </w:rPr>
          <w:t>https://ictv.global/taxonomy/templates</w:t>
        </w:r>
      </w:hyperlink>
    </w:p>
    <w:tbl>
      <w:tblPr>
        <w:tblStyle w:val="TableGrid"/>
        <w:tblW w:w="6232" w:type="dxa"/>
        <w:jc w:val="left"/>
        <w:tblInd w:w="113" w:type="dxa"/>
        <w:tblLayout w:type="fixed"/>
        <w:tblCellMar>
          <w:top w:w="0" w:type="dxa"/>
          <w:left w:w="108" w:type="dxa"/>
          <w:bottom w:w="0" w:type="dxa"/>
          <w:right w:w="108" w:type="dxa"/>
        </w:tblCellMar>
        <w:tblLook w:val="04a0" w:noHBand="0" w:noVBand="1" w:firstColumn="1" w:lastRow="0" w:lastColumn="0" w:firstRow="1"/>
      </w:tblPr>
      <w:tblGrid>
        <w:gridCol w:w="2973"/>
        <w:gridCol w:w="425"/>
        <w:gridCol w:w="2408"/>
        <w:gridCol w:w="425"/>
      </w:tblGrid>
      <w:tr>
        <w:trPr/>
        <w:tc>
          <w:tcPr>
            <w:tcW w:w="6231" w:type="dxa"/>
            <w:gridSpan w:val="4"/>
            <w:tcBorders/>
            <w:shd w:color="auto" w:fill="F2F2F2" w:themeFill="background1" w:themeFillShade="f2" w:val="clear"/>
          </w:tcPr>
          <w:p>
            <w:pPr>
              <w:pStyle w:val="Normal"/>
              <w:widowControl/>
              <w:suppressAutoHyphens w:val="true"/>
              <w:spacing w:before="0" w:after="0"/>
              <w:jc w:val="left"/>
              <w:rPr>
                <w:rFonts w:ascii="Aptos" w:hAnsi="Aptos" w:eastAsia="Times" w:cs="Arial"/>
                <w:b/>
                <w:color w:val="0070C0"/>
                <w:sz w:val="20"/>
                <w:szCs w:val="20"/>
                <w:lang w:eastAsia="en-GB"/>
              </w:rPr>
            </w:pPr>
            <w:r>
              <w:rPr>
                <w:rFonts w:eastAsia="Times" w:cs="Arial" w:ascii="Aptos" w:hAnsi="Aptos"/>
                <w:b/>
                <w:color w:val="000000"/>
                <w:kern w:val="0"/>
                <w:sz w:val="20"/>
                <w:szCs w:val="20"/>
                <w:lang w:eastAsia="en-GB" w:bidi="ar-SA"/>
              </w:rPr>
              <w:t>Taxonomic changes proposed:</w:t>
            </w:r>
          </w:p>
        </w:tc>
      </w:tr>
      <w:tr>
        <w:trPr/>
        <w:tc>
          <w:tcPr>
            <w:tcW w:w="2973"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Establish new taxon</w:t>
            </w:r>
          </w:p>
        </w:tc>
        <w:tc>
          <w:tcPr>
            <w:tcW w:w="425" w:type="dxa"/>
            <w:tcBorders/>
          </w:tcPr>
          <w:p>
            <w:pPr>
              <w:pStyle w:val="Normal"/>
              <w:widowControl/>
              <w:suppressAutoHyphens w:val="true"/>
              <w:spacing w:before="0" w:after="0"/>
              <w:jc w:val="left"/>
              <w:rPr>
                <w:rFonts w:ascii="Aptos" w:hAnsi="Aptos" w:eastAsia="Times" w:cs="Arial"/>
                <w:b/>
                <w:sz w:val="20"/>
                <w:szCs w:val="20"/>
                <w:lang w:eastAsia="en-GB"/>
              </w:rPr>
            </w:pPr>
            <w:r>
              <w:rPr>
                <w:rFonts w:eastAsia="Times" w:cs="Arial" w:ascii="Aptos" w:hAnsi="Aptos"/>
                <w:b/>
                <w:kern w:val="0"/>
                <w:sz w:val="20"/>
                <w:szCs w:val="20"/>
                <w:lang w:eastAsia="en-GB" w:bidi="ar-SA"/>
              </w:rPr>
              <w:t>X</w:t>
            </w:r>
          </w:p>
        </w:tc>
        <w:tc>
          <w:tcPr>
            <w:tcW w:w="2408"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Split taxon</w:t>
            </w:r>
          </w:p>
        </w:tc>
        <w:tc>
          <w:tcPr>
            <w:tcW w:w="425"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r>
      <w:tr>
        <w:trPr/>
        <w:tc>
          <w:tcPr>
            <w:tcW w:w="2973"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Abolish taxon</w:t>
            </w:r>
          </w:p>
        </w:tc>
        <w:tc>
          <w:tcPr>
            <w:tcW w:w="425" w:type="dxa"/>
            <w:tcBorders/>
          </w:tcPr>
          <w:p>
            <w:pPr>
              <w:pStyle w:val="Normal"/>
              <w:widowControl/>
              <w:suppressAutoHyphens w:val="true"/>
              <w:spacing w:before="0" w:after="0"/>
              <w:jc w:val="left"/>
              <w:rPr>
                <w:rFonts w:ascii="Aptos" w:hAnsi="Aptos" w:eastAsia="Times" w:cs="Arial"/>
                <w:b/>
                <w:sz w:val="20"/>
                <w:szCs w:val="20"/>
                <w:lang w:eastAsia="en-GB"/>
              </w:rPr>
            </w:pPr>
            <w:r>
              <w:rPr>
                <w:rFonts w:eastAsia="Times" w:cs="Arial" w:ascii="Aptos" w:hAnsi="Aptos"/>
                <w:b/>
                <w:sz w:val="20"/>
                <w:szCs w:val="20"/>
                <w:lang w:eastAsia="en-GB"/>
              </w:rPr>
            </w:r>
          </w:p>
        </w:tc>
        <w:tc>
          <w:tcPr>
            <w:tcW w:w="2408"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Merge taxon</w:t>
            </w:r>
          </w:p>
        </w:tc>
        <w:tc>
          <w:tcPr>
            <w:tcW w:w="425"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r>
      <w:tr>
        <w:trPr/>
        <w:tc>
          <w:tcPr>
            <w:tcW w:w="2973"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Move taxon</w:t>
            </w:r>
          </w:p>
        </w:tc>
        <w:tc>
          <w:tcPr>
            <w:tcW w:w="425" w:type="dxa"/>
            <w:tcBorders/>
          </w:tcPr>
          <w:p>
            <w:pPr>
              <w:pStyle w:val="Normal"/>
              <w:widowControl/>
              <w:suppressAutoHyphens w:val="true"/>
              <w:spacing w:before="0" w:after="0"/>
              <w:jc w:val="left"/>
              <w:rPr>
                <w:rFonts w:ascii="Aptos" w:hAnsi="Aptos" w:eastAsia="Times" w:cs="Arial"/>
                <w:b/>
                <w:sz w:val="20"/>
                <w:szCs w:val="20"/>
                <w:lang w:eastAsia="en-GB"/>
              </w:rPr>
            </w:pPr>
            <w:r>
              <w:rPr>
                <w:rFonts w:eastAsia="Times" w:cs="Arial" w:ascii="Aptos" w:hAnsi="Aptos"/>
                <w:b/>
                <w:kern w:val="0"/>
                <w:sz w:val="20"/>
                <w:szCs w:val="20"/>
                <w:lang w:eastAsia="en-GB" w:bidi="ar-SA"/>
              </w:rPr>
              <w:t>X</w:t>
            </w:r>
          </w:p>
        </w:tc>
        <w:tc>
          <w:tcPr>
            <w:tcW w:w="2408"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Promote taxon</w:t>
            </w:r>
          </w:p>
        </w:tc>
        <w:tc>
          <w:tcPr>
            <w:tcW w:w="425"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r>
      <w:tr>
        <w:trPr/>
        <w:tc>
          <w:tcPr>
            <w:tcW w:w="2973"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Rename taxon</w:t>
            </w:r>
          </w:p>
        </w:tc>
        <w:tc>
          <w:tcPr>
            <w:tcW w:w="425" w:type="dxa"/>
            <w:tcBorders/>
          </w:tcPr>
          <w:p>
            <w:pPr>
              <w:pStyle w:val="Normal"/>
              <w:widowControl/>
              <w:suppressAutoHyphens w:val="true"/>
              <w:spacing w:before="0" w:after="0"/>
              <w:jc w:val="left"/>
              <w:rPr>
                <w:rFonts w:ascii="Aptos" w:hAnsi="Aptos" w:eastAsia="Times" w:cs="Arial"/>
                <w:b/>
                <w:color w:val="BF360C"/>
                <w:sz w:val="20"/>
                <w:szCs w:val="20"/>
                <w:lang w:eastAsia="en-GB"/>
              </w:rPr>
            </w:pPr>
            <w:r>
              <w:rPr>
                <w:rFonts w:eastAsia="Times" w:cs="Arial" w:ascii="Aptos" w:hAnsi="Aptos"/>
                <w:b/>
                <w:color w:val="BF360C"/>
                <w:sz w:val="20"/>
                <w:szCs w:val="20"/>
                <w:lang w:eastAsia="en-GB"/>
              </w:rPr>
            </w:r>
          </w:p>
        </w:tc>
        <w:tc>
          <w:tcPr>
            <w:tcW w:w="2408" w:type="dxa"/>
            <w:tcBorders/>
          </w:tcPr>
          <w:p>
            <w:pPr>
              <w:pStyle w:val="Normal"/>
              <w:widowControl/>
              <w:suppressAutoHyphens w:val="true"/>
              <w:spacing w:before="0" w:after="0"/>
              <w:jc w:val="left"/>
              <w:rPr>
                <w:rFonts w:ascii="Aptos" w:hAnsi="Aptos" w:eastAsia="Times" w:cs="Arial"/>
                <w:color w:val="000000"/>
                <w:sz w:val="20"/>
                <w:szCs w:val="20"/>
                <w:lang w:eastAsia="en-GB"/>
              </w:rPr>
            </w:pPr>
            <w:r>
              <w:rPr>
                <w:rFonts w:eastAsia="Times" w:cs="Arial" w:ascii="Aptos" w:hAnsi="Aptos"/>
                <w:color w:val="000000"/>
                <w:kern w:val="0"/>
                <w:sz w:val="20"/>
                <w:szCs w:val="20"/>
                <w:lang w:eastAsia="en-GB" w:bidi="ar-SA"/>
              </w:rPr>
              <w:t>Demote taxon</w:t>
            </w:r>
          </w:p>
        </w:tc>
        <w:tc>
          <w:tcPr>
            <w:tcW w:w="425" w:type="dxa"/>
            <w:tcBorders/>
          </w:tcPr>
          <w:p>
            <w:pPr>
              <w:pStyle w:val="Normal"/>
              <w:widowControl/>
              <w:suppressAutoHyphens w:val="true"/>
              <w:spacing w:before="0" w:after="0"/>
              <w:jc w:val="left"/>
              <w:rPr>
                <w:rFonts w:ascii="Aptos" w:hAnsi="Aptos" w:eastAsia="Times" w:cs="Arial"/>
                <w:b/>
                <w:color w:val="000000"/>
                <w:sz w:val="20"/>
                <w:szCs w:val="20"/>
                <w:lang w:eastAsia="en-GB"/>
              </w:rPr>
            </w:pPr>
            <w:r>
              <w:rPr>
                <w:rFonts w:eastAsia="Times" w:cs="Arial" w:ascii="Aptos" w:hAnsi="Aptos"/>
                <w:b/>
                <w:color w:val="000000"/>
                <w:sz w:val="20"/>
                <w:szCs w:val="20"/>
                <w:lang w:eastAsia="en-GB"/>
              </w:rPr>
            </w:r>
          </w:p>
        </w:tc>
      </w:tr>
      <w:tr>
        <w:trPr/>
        <w:tc>
          <w:tcPr>
            <w:tcW w:w="2973" w:type="dxa"/>
            <w:tcBorders/>
          </w:tcPr>
          <w:p>
            <w:pPr>
              <w:pStyle w:val="Normal"/>
              <w:widowControl/>
              <w:suppressAutoHyphens w:val="true"/>
              <w:spacing w:before="0" w:after="0"/>
              <w:jc w:val="left"/>
              <w:rPr>
                <w:rFonts w:ascii="Aptos" w:hAnsi="Aptos" w:cs="Arial"/>
                <w:b/>
                <w:sz w:val="20"/>
                <w:szCs w:val="20"/>
              </w:rPr>
            </w:pPr>
            <w:r>
              <w:rPr>
                <w:rFonts w:eastAsia="Times" w:cs="Arial" w:ascii="Aptos" w:hAnsi="Aptos"/>
                <w:color w:val="000000"/>
                <w:kern w:val="0"/>
                <w:sz w:val="20"/>
                <w:szCs w:val="20"/>
                <w:lang w:eastAsia="en-GB" w:bidi="ar-SA"/>
              </w:rPr>
              <w:t>Move and rename</w:t>
            </w:r>
          </w:p>
        </w:tc>
        <w:tc>
          <w:tcPr>
            <w:tcW w:w="425" w:type="dxa"/>
            <w:tcBorders/>
          </w:tcPr>
          <w:p>
            <w:pPr>
              <w:pStyle w:val="Normal"/>
              <w:widowControl/>
              <w:suppressAutoHyphens w:val="true"/>
              <w:spacing w:before="0" w:after="0"/>
              <w:jc w:val="left"/>
              <w:rPr>
                <w:rFonts w:ascii="Aptos" w:hAnsi="Aptos" w:cs="Arial"/>
                <w:b/>
                <w:sz w:val="20"/>
                <w:szCs w:val="20"/>
              </w:rPr>
            </w:pPr>
            <w:r>
              <w:rPr>
                <w:rFonts w:cs="Arial" w:ascii="Aptos" w:hAnsi="Aptos"/>
                <w:b/>
                <w:sz w:val="20"/>
                <w:szCs w:val="20"/>
              </w:rPr>
            </w:r>
          </w:p>
        </w:tc>
        <w:tc>
          <w:tcPr>
            <w:tcW w:w="2408" w:type="dxa"/>
            <w:tcBorders>
              <w:top w:val="nil"/>
              <w:left w:val="nil"/>
              <w:bottom w:val="nil"/>
              <w:right w:val="nil"/>
            </w:tcBorders>
          </w:tcPr>
          <w:p>
            <w:pPr>
              <w:pStyle w:val="Normal"/>
              <w:widowControl/>
              <w:suppressAutoHyphens w:val="true"/>
              <w:spacing w:before="0" w:after="0"/>
              <w:jc w:val="left"/>
              <w:rPr>
                <w:kern w:val="0"/>
                <w:sz w:val="24"/>
                <w:szCs w:val="24"/>
                <w:lang w:eastAsia="en-US" w:bidi="ar-SA"/>
              </w:rPr>
            </w:pPr>
            <w:r>
              <w:rPr>
                <w:kern w:val="0"/>
                <w:sz w:val="24"/>
                <w:szCs w:val="24"/>
                <w:lang w:eastAsia="en-US" w:bidi="ar-SA"/>
              </w:rPr>
            </w:r>
          </w:p>
        </w:tc>
        <w:tc>
          <w:tcPr>
            <w:tcW w:w="425" w:type="dxa"/>
            <w:tcBorders>
              <w:top w:val="nil"/>
              <w:left w:val="nil"/>
              <w:bottom w:val="nil"/>
              <w:right w:val="nil"/>
            </w:tcBorders>
          </w:tcPr>
          <w:p>
            <w:pPr>
              <w:pStyle w:val="Normal"/>
              <w:widowControl/>
              <w:suppressAutoHyphens w:val="true"/>
              <w:spacing w:before="0" w:after="0"/>
              <w:jc w:val="left"/>
              <w:rPr>
                <w:kern w:val="0"/>
                <w:sz w:val="24"/>
                <w:szCs w:val="24"/>
                <w:lang w:eastAsia="en-US" w:bidi="ar-SA"/>
              </w:rPr>
            </w:pPr>
            <w:r>
              <w:rPr>
                <w:kern w:val="0"/>
                <w:sz w:val="24"/>
                <w:szCs w:val="24"/>
                <w:lang w:eastAsia="en-US" w:bidi="ar-SA"/>
              </w:rPr>
            </w:r>
          </w:p>
        </w:tc>
      </w:tr>
    </w:tbl>
    <w:p>
      <w:pPr>
        <w:pStyle w:val="Normal"/>
        <w:rPr>
          <w:rFonts w:ascii="Aptos" w:hAnsi="Aptos" w:cs="Arial"/>
          <w:color w:themeColor="background1" w:themeShade="80" w:val="808080"/>
          <w:sz w:val="20"/>
        </w:rPr>
      </w:pPr>
      <w:r>
        <w:rPr>
          <w:rFonts w:cs="Arial" w:ascii="Aptos" w:hAnsi="Aptos"/>
          <w:color w:themeColor="background1" w:themeShade="80" w:val="808080"/>
          <w:sz w:val="20"/>
        </w:rPr>
      </w:r>
    </w:p>
    <w:tbl>
      <w:tblPr>
        <w:tblStyle w:val="TableGrid"/>
        <w:tblW w:w="8926" w:type="dxa"/>
        <w:jc w:val="left"/>
        <w:tblInd w:w="113" w:type="dxa"/>
        <w:tblLayout w:type="fixed"/>
        <w:tblCellMar>
          <w:top w:w="0" w:type="dxa"/>
          <w:left w:w="108" w:type="dxa"/>
          <w:bottom w:w="0" w:type="dxa"/>
          <w:right w:w="108" w:type="dxa"/>
        </w:tblCellMar>
        <w:tblLook w:val="04a0" w:noHBand="0" w:noVBand="1" w:firstColumn="1" w:lastRow="0" w:lastColumn="0" w:firstRow="1"/>
      </w:tblPr>
      <w:tblGrid>
        <w:gridCol w:w="2545"/>
        <w:gridCol w:w="6380"/>
      </w:tblGrid>
      <w:tr>
        <w:trPr>
          <w:trHeight w:val="297" w:hRule="atLeast"/>
        </w:trPr>
        <w:tc>
          <w:tcPr>
            <w:tcW w:w="8925" w:type="dxa"/>
            <w:gridSpan w:val="2"/>
            <w:tcBorders/>
            <w:shd w:color="auto" w:fill="F2F2F2" w:themeFill="background1" w:themeFillShade="f2" w:val="clear"/>
          </w:tcPr>
          <w:p>
            <w:pPr>
              <w:pStyle w:val="Normal"/>
              <w:widowControl/>
              <w:suppressAutoHyphens w:val="true"/>
              <w:spacing w:before="0" w:after="0"/>
              <w:jc w:val="left"/>
              <w:rPr>
                <w:rFonts w:ascii="Aptos" w:hAnsi="Aptos" w:cs="Arial"/>
                <w:b/>
                <w:color w:val="0000FF"/>
                <w:sz w:val="20"/>
              </w:rPr>
            </w:pPr>
            <w:r>
              <w:rPr>
                <w:rFonts w:cs="Arial" w:ascii="Aptos" w:hAnsi="Aptos"/>
                <w:b/>
                <w:kern w:val="0"/>
                <w:sz w:val="20"/>
                <w:szCs w:val="20"/>
                <w:lang w:eastAsia="en-US" w:bidi="ar-SA"/>
              </w:rPr>
              <w:t>Etymology (origin) of proposed taxonomic names:</w:t>
            </w:r>
          </w:p>
        </w:tc>
      </w:tr>
      <w:tr>
        <w:trPr>
          <w:trHeight w:val="73" w:hRule="atLeast"/>
        </w:trPr>
        <w:tc>
          <w:tcPr>
            <w:tcW w:w="2545" w:type="dxa"/>
            <w:tcBorders/>
          </w:tcPr>
          <w:p>
            <w:pPr>
              <w:pStyle w:val="Normal"/>
              <w:widowControl/>
              <w:suppressAutoHyphens w:val="true"/>
              <w:spacing w:before="0" w:after="0"/>
              <w:jc w:val="left"/>
              <w:rPr>
                <w:rFonts w:ascii="Aptos" w:hAnsi="Aptos" w:cs="Arial"/>
                <w:b/>
                <w:sz w:val="20"/>
                <w:szCs w:val="20"/>
              </w:rPr>
            </w:pPr>
            <w:r>
              <w:rPr>
                <w:rFonts w:cs="Arial" w:ascii="Aptos" w:hAnsi="Aptos"/>
                <w:b/>
                <w:kern w:val="0"/>
                <w:sz w:val="20"/>
                <w:szCs w:val="20"/>
                <w:lang w:eastAsia="en-US" w:bidi="ar-SA"/>
              </w:rPr>
              <w:t>Taxon name</w:t>
            </w:r>
          </w:p>
        </w:tc>
        <w:tc>
          <w:tcPr>
            <w:tcW w:w="6380" w:type="dxa"/>
            <w:tcBorders/>
          </w:tcPr>
          <w:p>
            <w:pPr>
              <w:pStyle w:val="Normal"/>
              <w:widowControl/>
              <w:suppressAutoHyphens w:val="true"/>
              <w:spacing w:before="0" w:after="0"/>
              <w:jc w:val="left"/>
              <w:rPr>
                <w:rFonts w:ascii="Aptos" w:hAnsi="Aptos" w:cs="Arial"/>
                <w:b/>
                <w:sz w:val="20"/>
                <w:szCs w:val="20"/>
              </w:rPr>
            </w:pPr>
            <w:r>
              <w:rPr>
                <w:rFonts w:cs="Arial" w:ascii="Aptos" w:hAnsi="Aptos"/>
                <w:b/>
                <w:kern w:val="0"/>
                <w:sz w:val="20"/>
                <w:szCs w:val="20"/>
                <w:lang w:eastAsia="en-US" w:bidi="ar-SA"/>
              </w:rPr>
              <w:t>Etymology of the term</w:t>
            </w:r>
          </w:p>
        </w:tc>
      </w:tr>
      <w:tr>
        <w:trPr>
          <w:trHeight w:val="71" w:hRule="atLeast"/>
        </w:trPr>
        <w:tc>
          <w:tcPr>
            <w:tcW w:w="2545" w:type="dxa"/>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Amoyvirales</w:t>
            </w:r>
          </w:p>
        </w:tc>
        <w:tc>
          <w:tcPr>
            <w:tcW w:w="6380" w:type="dxa"/>
            <w:tcBorders/>
            <w:vAlign w:val="center"/>
          </w:tcPr>
          <w:p>
            <w:pPr>
              <w:pStyle w:val="Texteprformat"/>
              <w:widowControl/>
              <w:suppressAutoHyphens w:val="true"/>
              <w:spacing w:before="0" w:after="0"/>
              <w:jc w:val="both"/>
              <w:rPr>
                <w:rFonts w:ascii="Calibri" w:hAnsi="Calibri" w:eastAsia="Calibri" w:cs=""/>
                <w:kern w:val="0"/>
                <w:sz w:val="24"/>
                <w:szCs w:val="24"/>
                <w:lang w:val="en-GB" w:eastAsia="en-US" w:bidi="ar-SA"/>
              </w:rPr>
            </w:pPr>
            <w:r>
              <w:rPr>
                <w:rFonts w:eastAsia="Calibri" w:cs="Arial" w:ascii="Aptos" w:hAnsi="Aptos"/>
                <w:color w:themeColor="text1" w:val="000000"/>
                <w:kern w:val="0"/>
                <w:sz w:val="24"/>
                <w:szCs w:val="24"/>
                <w:lang w:val="en-US" w:eastAsia="en-US" w:bidi="ar-SA"/>
              </w:rPr>
              <w:t>from the romanized name of Xiamen University where the first virus of this group was isolated</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Alpavirales</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 xml:space="preserve">Meaning small in </w:t>
            </w:r>
            <w:r>
              <w:rPr>
                <w:rFonts w:cs="Arial" w:ascii="Aptos" w:hAnsi="Aptos"/>
                <w:color w:val="000000"/>
                <w:kern w:val="0"/>
                <w:sz w:val="20"/>
                <w:szCs w:val="20"/>
                <w:shd w:fill="FAFAFA" w:val="clear"/>
                <w:lang w:eastAsia="en-US" w:bidi="ar-SA"/>
              </w:rPr>
              <w:t>Sanskrit</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Gokushovirales</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Already existing</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Reekeekeevirales</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Meaning small in french</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Roodoodoovirales</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Meaning small sweet in french</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Bullavirales</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Already existing</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Secretvirales</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Contains “</w:t>
            </w:r>
            <w:r>
              <w:rPr>
                <w:rFonts w:cs="Arial" w:ascii="Aptos" w:hAnsi="Aptos"/>
                <w:i/>
                <w:iCs/>
                <w:color w:val="000000"/>
                <w:kern w:val="0"/>
                <w:sz w:val="20"/>
                <w:szCs w:val="20"/>
                <w:lang w:eastAsia="en-US" w:bidi="ar-SA"/>
              </w:rPr>
              <w:t>Tainaviridae”</w:t>
            </w:r>
            <w:r>
              <w:rPr>
                <w:rFonts w:cs="Arial" w:ascii="Aptos" w:hAnsi="Aptos"/>
                <w:color w:val="000000"/>
                <w:kern w:val="0"/>
                <w:sz w:val="20"/>
                <w:szCs w:val="20"/>
                <w:lang w:eastAsia="en-US" w:bidi="ar-SA"/>
              </w:rPr>
              <w:t xml:space="preserve"> and “</w:t>
            </w:r>
            <w:r>
              <w:rPr>
                <w:rFonts w:cs="Arial" w:ascii="Aptos" w:hAnsi="Aptos"/>
                <w:i/>
                <w:iCs/>
                <w:color w:val="000000"/>
                <w:kern w:val="0"/>
                <w:sz w:val="20"/>
                <w:szCs w:val="20"/>
                <w:lang w:eastAsia="en-US" w:bidi="ar-SA"/>
              </w:rPr>
              <w:t>Occultatumviridae”</w:t>
            </w:r>
            <w:r>
              <w:rPr>
                <w:rFonts w:cs="Arial" w:ascii="Aptos" w:hAnsi="Aptos"/>
                <w:color w:val="000000"/>
                <w:kern w:val="0"/>
                <w:sz w:val="20"/>
                <w:szCs w:val="20"/>
                <w:lang w:eastAsia="en-US" w:bidi="ar-SA"/>
              </w:rPr>
              <w:t>, termed according to ‘secret’ and ‘hidden’</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Kidogoviridae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Small in Swahili (Kenya,Uganda, Tanzania)</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Osikeviridae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Small in Molengue (Equatorial Guinea, Gabon)</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Chicoviridae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Small in Spanish</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Pequenoviridae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Small in Spanish</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Pichoviridae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Small in Occitan</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Piccoloviridae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Small in Italian</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Pieniviridae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Small in Finnish</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Pikkuviridae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Small in Finnish</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Piticuviridae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Small in Sardinian</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Lilleviridae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Small in Danish</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Litenviridae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Small in Norwegian</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Litilviridae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Small in Islandic</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Mazaviridae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Small in Lithuanian</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Alphagokushoviridae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Subdivision of the “</w:t>
            </w:r>
            <w:r>
              <w:rPr>
                <w:rFonts w:cs="Arial" w:ascii="Aptos" w:hAnsi="Aptos"/>
                <w:i/>
                <w:iCs/>
                <w:color w:val="000000"/>
                <w:kern w:val="0"/>
                <w:sz w:val="20"/>
                <w:szCs w:val="20"/>
                <w:lang w:eastAsia="en-US" w:bidi="ar-SA"/>
              </w:rPr>
              <w:t>Gokushovirales”</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Betagokushoviridae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Subdivision of the “</w:t>
            </w:r>
            <w:r>
              <w:rPr>
                <w:rFonts w:cs="Arial" w:ascii="Aptos" w:hAnsi="Aptos"/>
                <w:i/>
                <w:iCs/>
                <w:color w:val="000000"/>
                <w:kern w:val="0"/>
                <w:sz w:val="20"/>
                <w:szCs w:val="20"/>
                <w:lang w:eastAsia="en-US" w:bidi="ar-SA"/>
              </w:rPr>
              <w:t>Gokushovirales”</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Sukshmaviridae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Meaning small in Sanskrit</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Groupodiviridae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A clade initially named GroupD</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Eubullaviridae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themeColor="text1" w:val="000000"/>
                <w:kern w:val="0"/>
                <w:sz w:val="20"/>
                <w:szCs w:val="20"/>
                <w:lang w:eastAsia="en-US" w:bidi="ar-SA"/>
              </w:rPr>
              <w:t xml:space="preserve">The previously established </w:t>
            </w:r>
            <w:r>
              <w:rPr>
                <w:rFonts w:cs="Arial" w:ascii="Aptos" w:hAnsi="Aptos"/>
                <w:i/>
                <w:iCs/>
                <w:color w:themeColor="text1" w:val="000000"/>
                <w:kern w:val="0"/>
                <w:sz w:val="20"/>
                <w:szCs w:val="20"/>
                <w:lang w:eastAsia="en-US" w:bidi="ar-SA"/>
              </w:rPr>
              <w:t>Bullaviridae</w:t>
            </w:r>
            <w:r>
              <w:rPr>
                <w:rFonts w:cs="Arial" w:ascii="Aptos" w:hAnsi="Aptos"/>
                <w:color w:themeColor="text1" w:val="000000"/>
                <w:kern w:val="0"/>
                <w:sz w:val="20"/>
                <w:szCs w:val="20"/>
                <w:lang w:eastAsia="en-US" w:bidi="ar-SA"/>
              </w:rPr>
              <w:t xml:space="preserve"> family (Eu for True)</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Liberviridae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 xml:space="preserve">A group whose representative virus infect </w:t>
            </w:r>
            <w:r>
              <w:rPr>
                <w:rFonts w:cs="Arial" w:ascii="Aptos" w:hAnsi="Aptos"/>
                <w:i/>
                <w:iCs/>
                <w:color w:val="000000"/>
                <w:kern w:val="0"/>
                <w:sz w:val="20"/>
                <w:szCs w:val="20"/>
                <w:lang w:eastAsia="en-US" w:bidi="ar-SA"/>
              </w:rPr>
              <w:t>Liberibacter</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Tainaviridae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Meaning “secret” in Romanian, inside the “</w:t>
            </w:r>
            <w:r>
              <w:rPr>
                <w:rFonts w:cs="Arial" w:ascii="Aptos" w:hAnsi="Aptos"/>
                <w:i/>
                <w:iCs/>
                <w:color w:val="000000"/>
                <w:kern w:val="0"/>
                <w:sz w:val="20"/>
                <w:szCs w:val="20"/>
                <w:lang w:eastAsia="en-US" w:bidi="ar-SA"/>
              </w:rPr>
              <w:t>Secretvirales”</w:t>
            </w:r>
            <w:r>
              <w:rPr>
                <w:rFonts w:cs="Arial" w:ascii="Aptos" w:hAnsi="Aptos"/>
                <w:color w:val="000000"/>
                <w:kern w:val="0"/>
                <w:sz w:val="20"/>
                <w:szCs w:val="20"/>
                <w:lang w:eastAsia="en-US" w:bidi="ar-SA"/>
              </w:rPr>
              <w:t xml:space="preserve"> a group of virus discovered lately</w:t>
            </w:r>
          </w:p>
        </w:tc>
      </w:tr>
      <w:tr>
        <w:trPr>
          <w:trHeight w:val="71" w:hRule="atLeast"/>
        </w:trPr>
        <w:tc>
          <w:tcPr>
            <w:tcW w:w="2545" w:type="dxa"/>
            <w:tcBorders>
              <w:top w:val="nil"/>
            </w:tcBorders>
            <w:vAlign w:val="center"/>
          </w:tcPr>
          <w:p>
            <w:pPr>
              <w:pStyle w:val="Normal"/>
              <w:widowControl/>
              <w:suppressAutoHyphens w:val="true"/>
              <w:spacing w:before="0" w:after="0"/>
              <w:jc w:val="both"/>
              <w:rPr>
                <w:i/>
                <w:i/>
                <w:iCs/>
                <w:color w:val="000000"/>
              </w:rPr>
            </w:pPr>
            <w:r>
              <w:rPr>
                <w:rFonts w:cs="Arial" w:ascii="Aptos" w:hAnsi="Aptos"/>
                <w:i/>
                <w:iCs/>
                <w:color w:val="000000"/>
                <w:kern w:val="0"/>
                <w:sz w:val="20"/>
                <w:szCs w:val="20"/>
                <w:lang w:eastAsia="en-US" w:bidi="ar-SA"/>
              </w:rPr>
              <w:t>Occultatumviridae</w:t>
            </w:r>
          </w:p>
        </w:tc>
        <w:tc>
          <w:tcPr>
            <w:tcW w:w="6380" w:type="dxa"/>
            <w:tcBorders>
              <w:top w:val="nil"/>
            </w:tcBorders>
            <w:vAlign w:val="center"/>
          </w:tcPr>
          <w:p>
            <w:pPr>
              <w:pStyle w:val="Normal"/>
              <w:widowControl/>
              <w:suppressAutoHyphens w:val="true"/>
              <w:spacing w:before="0" w:after="0"/>
              <w:jc w:val="both"/>
              <w:rPr>
                <w:color w:val="000000"/>
              </w:rPr>
            </w:pPr>
            <w:r>
              <w:rPr>
                <w:rFonts w:cs="Arial" w:ascii="Aptos" w:hAnsi="Aptos"/>
                <w:color w:val="000000"/>
                <w:kern w:val="0"/>
                <w:sz w:val="20"/>
                <w:szCs w:val="20"/>
                <w:lang w:eastAsia="en-US" w:bidi="ar-SA"/>
              </w:rPr>
              <w:t>Meaning “hidden” in Latin, inside the “</w:t>
            </w:r>
            <w:r>
              <w:rPr>
                <w:rFonts w:cs="Arial" w:ascii="Aptos" w:hAnsi="Aptos"/>
                <w:i/>
                <w:iCs/>
                <w:color w:val="000000"/>
                <w:kern w:val="0"/>
                <w:sz w:val="20"/>
                <w:szCs w:val="20"/>
                <w:lang w:eastAsia="en-US" w:bidi="ar-SA"/>
              </w:rPr>
              <w:t>Secretvirales”</w:t>
            </w:r>
            <w:r>
              <w:rPr>
                <w:rFonts w:cs="Arial" w:ascii="Aptos" w:hAnsi="Aptos"/>
                <w:color w:val="000000"/>
                <w:kern w:val="0"/>
                <w:sz w:val="20"/>
                <w:szCs w:val="20"/>
                <w:lang w:eastAsia="en-US" w:bidi="ar-SA"/>
              </w:rPr>
              <w:t xml:space="preserve"> a group of virus discovered lately</w:t>
            </w:r>
          </w:p>
        </w:tc>
      </w:tr>
    </w:tbl>
    <w:p>
      <w:pPr>
        <w:pStyle w:val="Normal"/>
        <w:rPr>
          <w:rFonts w:ascii="Aptos" w:hAnsi="Aptos" w:cs="Arial"/>
          <w:color w:val="0000FF"/>
          <w:sz w:val="20"/>
          <w:szCs w:val="20"/>
        </w:rPr>
      </w:pPr>
      <w:r>
        <w:rPr>
          <w:rFonts w:cs="Arial" w:ascii="Aptos" w:hAnsi="Aptos"/>
          <w:color w:val="0000FF"/>
          <w:sz w:val="20"/>
          <w:szCs w:val="20"/>
        </w:rPr>
      </w:r>
    </w:p>
    <w:tbl>
      <w:tblPr>
        <w:tblStyle w:val="TableGrid"/>
        <w:tblW w:w="8926" w:type="dxa"/>
        <w:jc w:val="left"/>
        <w:tblInd w:w="113" w:type="dxa"/>
        <w:tblLayout w:type="fixed"/>
        <w:tblCellMar>
          <w:top w:w="0" w:type="dxa"/>
          <w:left w:w="108" w:type="dxa"/>
          <w:bottom w:w="0" w:type="dxa"/>
          <w:right w:w="108" w:type="dxa"/>
        </w:tblCellMar>
        <w:tblLook w:val="04a0" w:noHBand="0" w:noVBand="1" w:firstColumn="1" w:lastRow="0" w:lastColumn="0" w:firstRow="1"/>
      </w:tblPr>
      <w:tblGrid>
        <w:gridCol w:w="2543"/>
        <w:gridCol w:w="5103"/>
        <w:gridCol w:w="1280"/>
      </w:tblGrid>
      <w:tr>
        <w:trPr/>
        <w:tc>
          <w:tcPr>
            <w:tcW w:w="8926" w:type="dxa"/>
            <w:gridSpan w:val="3"/>
            <w:tcBorders/>
            <w:shd w:color="auto" w:fill="F2F2F2" w:themeFill="background1" w:themeFillShade="f2" w:val="clear"/>
          </w:tcPr>
          <w:p>
            <w:pPr>
              <w:pStyle w:val="Normal"/>
              <w:widowControl/>
              <w:suppressAutoHyphens w:val="true"/>
              <w:spacing w:before="0" w:after="0"/>
              <w:jc w:val="left"/>
              <w:rPr>
                <w:rFonts w:ascii="Aptos" w:hAnsi="Aptos" w:cs="Arial"/>
                <w:color w:val="0000FF"/>
                <w:sz w:val="20"/>
                <w:szCs w:val="20"/>
              </w:rPr>
            </w:pPr>
            <w:r>
              <w:rPr>
                <w:rFonts w:cs="Arial" w:ascii="Aptos" w:hAnsi="Aptos"/>
                <w:b/>
                <w:bCs/>
                <w:color w:val="000000"/>
                <w:kern w:val="0"/>
                <w:sz w:val="20"/>
                <w:szCs w:val="20"/>
                <w:lang w:eastAsia="en-US" w:bidi="ar-SA"/>
              </w:rPr>
              <w:t>Permission for use of names derived from a living person:</w:t>
            </w:r>
          </w:p>
        </w:tc>
      </w:tr>
      <w:tr>
        <w:trPr/>
        <w:tc>
          <w:tcPr>
            <w:tcW w:w="2543" w:type="dxa"/>
            <w:tcBorders/>
          </w:tcPr>
          <w:p>
            <w:pPr>
              <w:pStyle w:val="Normal"/>
              <w:widowControl/>
              <w:suppressAutoHyphens w:val="true"/>
              <w:spacing w:before="0" w:after="0"/>
              <w:jc w:val="left"/>
              <w:rPr>
                <w:rFonts w:ascii="Aptos" w:hAnsi="Aptos" w:cs="Arial"/>
                <w:color w:val="0000FF"/>
                <w:sz w:val="20"/>
                <w:szCs w:val="20"/>
              </w:rPr>
            </w:pPr>
            <w:r>
              <w:rPr>
                <w:rFonts w:cs="Arial" w:ascii="Aptos" w:hAnsi="Aptos"/>
                <w:b/>
                <w:bCs/>
                <w:color w:val="000000"/>
                <w:kern w:val="0"/>
                <w:sz w:val="20"/>
                <w:szCs w:val="20"/>
                <w:lang w:eastAsia="en-US" w:bidi="ar-SA"/>
              </w:rPr>
              <w:t>Taxon name</w:t>
            </w:r>
          </w:p>
        </w:tc>
        <w:tc>
          <w:tcPr>
            <w:tcW w:w="5103" w:type="dxa"/>
            <w:tcBorders/>
          </w:tcPr>
          <w:p>
            <w:pPr>
              <w:pStyle w:val="Normal"/>
              <w:widowControl/>
              <w:suppressAutoHyphens w:val="true"/>
              <w:spacing w:before="0" w:after="0"/>
              <w:jc w:val="left"/>
              <w:rPr>
                <w:rFonts w:ascii="Aptos" w:hAnsi="Aptos" w:cs="Arial"/>
                <w:color w:val="0000FF"/>
                <w:sz w:val="20"/>
                <w:szCs w:val="20"/>
              </w:rPr>
            </w:pPr>
            <w:r>
              <w:rPr>
                <w:rFonts w:cs="Arial" w:ascii="Aptos" w:hAnsi="Aptos"/>
                <w:b/>
                <w:bCs/>
                <w:color w:val="000000"/>
                <w:kern w:val="0"/>
                <w:sz w:val="20"/>
                <w:szCs w:val="20"/>
                <w:lang w:eastAsia="en-US" w:bidi="ar-SA"/>
              </w:rPr>
              <w:t>Full name of person from whom the name is derived</w:t>
            </w:r>
          </w:p>
        </w:tc>
        <w:tc>
          <w:tcPr>
            <w:tcW w:w="1280" w:type="dxa"/>
            <w:tcBorders/>
          </w:tcPr>
          <w:p>
            <w:pPr>
              <w:pStyle w:val="Normal"/>
              <w:widowControl/>
              <w:suppressAutoHyphens w:val="true"/>
              <w:spacing w:before="0" w:after="0"/>
              <w:jc w:val="left"/>
              <w:rPr>
                <w:rFonts w:ascii="Aptos" w:hAnsi="Aptos" w:cs="Arial"/>
                <w:color w:val="0000FF"/>
                <w:sz w:val="20"/>
                <w:szCs w:val="20"/>
              </w:rPr>
            </w:pPr>
            <w:r>
              <w:rPr>
                <w:rFonts w:cs="Arial" w:ascii="Aptos" w:hAnsi="Aptos"/>
                <w:b/>
                <w:bCs/>
                <w:color w:val="000000"/>
                <w:kern w:val="0"/>
                <w:sz w:val="20"/>
                <w:szCs w:val="20"/>
                <w:lang w:eastAsia="en-US" w:bidi="ar-SA"/>
              </w:rPr>
              <w:t>Attached</w:t>
            </w:r>
          </w:p>
        </w:tc>
      </w:tr>
      <w:tr>
        <w:trPr/>
        <w:tc>
          <w:tcPr>
            <w:tcW w:w="2543" w:type="dxa"/>
            <w:tcBorders/>
            <w:vAlign w:val="center"/>
          </w:tcPr>
          <w:p>
            <w:pPr>
              <w:pStyle w:val="Normal"/>
              <w:widowControl/>
              <w:suppressAutoHyphens w:val="true"/>
              <w:spacing w:before="0" w:after="0"/>
              <w:jc w:val="both"/>
              <w:rPr>
                <w:rFonts w:ascii="Aptos" w:hAnsi="Aptos" w:cs="Arial"/>
                <w:color w:themeColor="text1" w:val="000000"/>
                <w:sz w:val="20"/>
                <w:szCs w:val="20"/>
              </w:rPr>
            </w:pPr>
            <w:r>
              <w:rPr>
                <w:rFonts w:cs="Arial" w:ascii="Aptos" w:hAnsi="Aptos"/>
                <w:color w:themeColor="text1" w:val="000000"/>
                <w:sz w:val="20"/>
                <w:szCs w:val="20"/>
              </w:rPr>
            </w:r>
          </w:p>
        </w:tc>
        <w:tc>
          <w:tcPr>
            <w:tcW w:w="5103" w:type="dxa"/>
            <w:tcBorders/>
            <w:vAlign w:val="center"/>
          </w:tcPr>
          <w:p>
            <w:pPr>
              <w:pStyle w:val="Normal"/>
              <w:widowControl/>
              <w:suppressAutoHyphens w:val="true"/>
              <w:spacing w:before="0" w:after="0"/>
              <w:jc w:val="both"/>
              <w:rPr>
                <w:rFonts w:ascii="Aptos" w:hAnsi="Aptos" w:cs="Arial"/>
                <w:color w:themeColor="text1" w:val="000000"/>
                <w:sz w:val="20"/>
                <w:szCs w:val="20"/>
              </w:rPr>
            </w:pPr>
            <w:r>
              <w:rPr>
                <w:rFonts w:cs="Arial" w:ascii="Aptos" w:hAnsi="Aptos"/>
                <w:color w:themeColor="text1" w:val="000000"/>
                <w:sz w:val="20"/>
                <w:szCs w:val="20"/>
              </w:rPr>
            </w:r>
          </w:p>
        </w:tc>
        <w:tc>
          <w:tcPr>
            <w:tcW w:w="1280" w:type="dxa"/>
            <w:tcBorders/>
            <w:vAlign w:val="center"/>
          </w:tcPr>
          <w:p>
            <w:pPr>
              <w:pStyle w:val="Normal"/>
              <w:widowControl/>
              <w:suppressAutoHyphens w:val="true"/>
              <w:spacing w:before="0" w:after="0"/>
              <w:jc w:val="both"/>
              <w:rPr>
                <w:rFonts w:ascii="Aptos" w:hAnsi="Aptos" w:cs="Arial"/>
                <w:color w:themeColor="text1" w:val="000000"/>
                <w:sz w:val="20"/>
                <w:szCs w:val="20"/>
              </w:rPr>
            </w:pPr>
            <w:r>
              <w:rPr>
                <w:rFonts w:cs="Arial" w:ascii="Aptos" w:hAnsi="Aptos"/>
                <w:color w:themeColor="text1" w:val="000000"/>
                <w:sz w:val="20"/>
                <w:szCs w:val="20"/>
              </w:rPr>
            </w:r>
          </w:p>
        </w:tc>
      </w:tr>
      <w:tr>
        <w:trPr/>
        <w:tc>
          <w:tcPr>
            <w:tcW w:w="2543" w:type="dxa"/>
            <w:tcBorders/>
            <w:vAlign w:val="center"/>
          </w:tcPr>
          <w:p>
            <w:pPr>
              <w:pStyle w:val="Normal"/>
              <w:widowControl/>
              <w:suppressAutoHyphens w:val="true"/>
              <w:spacing w:before="0" w:after="0"/>
              <w:jc w:val="both"/>
              <w:rPr>
                <w:rFonts w:ascii="Aptos" w:hAnsi="Aptos" w:cs="Arial"/>
                <w:color w:themeColor="text1" w:val="000000"/>
                <w:sz w:val="20"/>
                <w:szCs w:val="20"/>
              </w:rPr>
            </w:pPr>
            <w:r>
              <w:rPr>
                <w:rFonts w:cs="Arial" w:ascii="Aptos" w:hAnsi="Aptos"/>
                <w:color w:themeColor="text1" w:val="000000"/>
                <w:sz w:val="20"/>
                <w:szCs w:val="20"/>
              </w:rPr>
            </w:r>
          </w:p>
        </w:tc>
        <w:tc>
          <w:tcPr>
            <w:tcW w:w="5103" w:type="dxa"/>
            <w:tcBorders/>
            <w:vAlign w:val="center"/>
          </w:tcPr>
          <w:p>
            <w:pPr>
              <w:pStyle w:val="Normal"/>
              <w:widowControl/>
              <w:suppressAutoHyphens w:val="true"/>
              <w:spacing w:before="0" w:after="0"/>
              <w:jc w:val="both"/>
              <w:rPr>
                <w:rFonts w:ascii="Aptos" w:hAnsi="Aptos" w:cs="Arial"/>
                <w:color w:themeColor="text1" w:val="000000"/>
                <w:sz w:val="20"/>
                <w:szCs w:val="20"/>
              </w:rPr>
            </w:pPr>
            <w:r>
              <w:rPr>
                <w:rFonts w:cs="Arial" w:ascii="Aptos" w:hAnsi="Aptos"/>
                <w:color w:themeColor="text1" w:val="000000"/>
                <w:sz w:val="20"/>
                <w:szCs w:val="20"/>
              </w:rPr>
            </w:r>
          </w:p>
        </w:tc>
        <w:tc>
          <w:tcPr>
            <w:tcW w:w="1280" w:type="dxa"/>
            <w:tcBorders/>
            <w:vAlign w:val="center"/>
          </w:tcPr>
          <w:p>
            <w:pPr>
              <w:pStyle w:val="Normal"/>
              <w:widowControl/>
              <w:suppressAutoHyphens w:val="true"/>
              <w:spacing w:before="0" w:after="0"/>
              <w:jc w:val="both"/>
              <w:rPr>
                <w:rFonts w:ascii="Aptos" w:hAnsi="Aptos" w:cs="Arial"/>
                <w:color w:themeColor="text1" w:val="000000"/>
                <w:sz w:val="20"/>
                <w:szCs w:val="20"/>
              </w:rPr>
            </w:pPr>
            <w:r>
              <w:rPr>
                <w:rFonts w:cs="Arial" w:ascii="Aptos" w:hAnsi="Aptos"/>
                <w:color w:themeColor="text1" w:val="000000"/>
                <w:sz w:val="20"/>
                <w:szCs w:val="20"/>
              </w:rPr>
            </w:r>
          </w:p>
        </w:tc>
      </w:tr>
      <w:tr>
        <w:trPr/>
        <w:tc>
          <w:tcPr>
            <w:tcW w:w="2543" w:type="dxa"/>
            <w:tcBorders/>
            <w:vAlign w:val="center"/>
          </w:tcPr>
          <w:p>
            <w:pPr>
              <w:pStyle w:val="Normal"/>
              <w:widowControl/>
              <w:suppressAutoHyphens w:val="true"/>
              <w:spacing w:before="0" w:after="0"/>
              <w:jc w:val="both"/>
              <w:rPr>
                <w:rFonts w:ascii="Aptos" w:hAnsi="Aptos" w:cs="Arial"/>
                <w:color w:themeColor="text1" w:val="000000"/>
                <w:sz w:val="20"/>
                <w:szCs w:val="20"/>
              </w:rPr>
            </w:pPr>
            <w:r>
              <w:rPr>
                <w:rFonts w:cs="Arial" w:ascii="Aptos" w:hAnsi="Aptos"/>
                <w:color w:themeColor="text1" w:val="000000"/>
                <w:sz w:val="20"/>
                <w:szCs w:val="20"/>
              </w:rPr>
            </w:r>
          </w:p>
        </w:tc>
        <w:tc>
          <w:tcPr>
            <w:tcW w:w="5103" w:type="dxa"/>
            <w:tcBorders/>
            <w:vAlign w:val="center"/>
          </w:tcPr>
          <w:p>
            <w:pPr>
              <w:pStyle w:val="Normal"/>
              <w:widowControl/>
              <w:suppressAutoHyphens w:val="true"/>
              <w:spacing w:before="0" w:after="0"/>
              <w:jc w:val="both"/>
              <w:rPr>
                <w:rFonts w:ascii="Aptos" w:hAnsi="Aptos" w:cs="Arial"/>
                <w:color w:themeColor="text1" w:val="000000"/>
                <w:sz w:val="20"/>
                <w:szCs w:val="20"/>
              </w:rPr>
            </w:pPr>
            <w:r>
              <w:rPr>
                <w:rFonts w:cs="Arial" w:ascii="Aptos" w:hAnsi="Aptos"/>
                <w:color w:themeColor="text1" w:val="000000"/>
                <w:sz w:val="20"/>
                <w:szCs w:val="20"/>
              </w:rPr>
            </w:r>
          </w:p>
        </w:tc>
        <w:tc>
          <w:tcPr>
            <w:tcW w:w="1280" w:type="dxa"/>
            <w:tcBorders/>
            <w:vAlign w:val="center"/>
          </w:tcPr>
          <w:p>
            <w:pPr>
              <w:pStyle w:val="Normal"/>
              <w:widowControl/>
              <w:suppressAutoHyphens w:val="true"/>
              <w:spacing w:before="0" w:after="0"/>
              <w:jc w:val="both"/>
              <w:rPr>
                <w:rFonts w:ascii="Aptos" w:hAnsi="Aptos" w:cs="Arial"/>
                <w:color w:themeColor="text1" w:val="000000"/>
                <w:sz w:val="20"/>
                <w:szCs w:val="20"/>
              </w:rPr>
            </w:pPr>
            <w:r>
              <w:rPr>
                <w:rFonts w:cs="Arial" w:ascii="Aptos" w:hAnsi="Aptos"/>
                <w:color w:themeColor="text1" w:val="000000"/>
                <w:sz w:val="20"/>
                <w:szCs w:val="20"/>
              </w:rPr>
            </w:r>
          </w:p>
        </w:tc>
      </w:tr>
      <w:tr>
        <w:trPr/>
        <w:tc>
          <w:tcPr>
            <w:tcW w:w="2543" w:type="dxa"/>
            <w:tcBorders/>
            <w:vAlign w:val="center"/>
          </w:tcPr>
          <w:p>
            <w:pPr>
              <w:pStyle w:val="Normal"/>
              <w:widowControl/>
              <w:suppressAutoHyphens w:val="true"/>
              <w:spacing w:before="0" w:after="0"/>
              <w:jc w:val="both"/>
              <w:rPr>
                <w:rFonts w:ascii="Aptos" w:hAnsi="Aptos" w:cs="Arial"/>
                <w:color w:themeColor="text1" w:val="000000"/>
                <w:sz w:val="20"/>
                <w:szCs w:val="20"/>
              </w:rPr>
            </w:pPr>
            <w:r>
              <w:rPr>
                <w:rFonts w:cs="Arial" w:ascii="Aptos" w:hAnsi="Aptos"/>
                <w:color w:themeColor="text1" w:val="000000"/>
                <w:sz w:val="20"/>
                <w:szCs w:val="20"/>
              </w:rPr>
            </w:r>
          </w:p>
        </w:tc>
        <w:tc>
          <w:tcPr>
            <w:tcW w:w="5103" w:type="dxa"/>
            <w:tcBorders/>
            <w:vAlign w:val="center"/>
          </w:tcPr>
          <w:p>
            <w:pPr>
              <w:pStyle w:val="Normal"/>
              <w:widowControl/>
              <w:suppressAutoHyphens w:val="true"/>
              <w:spacing w:before="0" w:after="0"/>
              <w:jc w:val="both"/>
              <w:rPr>
                <w:rFonts w:ascii="Aptos" w:hAnsi="Aptos" w:cs="Arial"/>
                <w:color w:themeColor="text1" w:val="000000"/>
                <w:sz w:val="20"/>
                <w:szCs w:val="20"/>
              </w:rPr>
            </w:pPr>
            <w:r>
              <w:rPr>
                <w:rFonts w:cs="Arial" w:ascii="Aptos" w:hAnsi="Aptos"/>
                <w:color w:themeColor="text1" w:val="000000"/>
                <w:sz w:val="20"/>
                <w:szCs w:val="20"/>
              </w:rPr>
            </w:r>
          </w:p>
        </w:tc>
        <w:tc>
          <w:tcPr>
            <w:tcW w:w="1280" w:type="dxa"/>
            <w:tcBorders/>
            <w:vAlign w:val="center"/>
          </w:tcPr>
          <w:p>
            <w:pPr>
              <w:pStyle w:val="Normal"/>
              <w:widowControl/>
              <w:suppressAutoHyphens w:val="true"/>
              <w:spacing w:before="0" w:after="0"/>
              <w:jc w:val="both"/>
              <w:rPr>
                <w:rFonts w:ascii="Aptos" w:hAnsi="Aptos" w:cs="Arial"/>
                <w:color w:themeColor="text1" w:val="000000"/>
                <w:sz w:val="20"/>
                <w:szCs w:val="20"/>
              </w:rPr>
            </w:pPr>
            <w:r>
              <w:rPr>
                <w:rFonts w:cs="Arial" w:ascii="Aptos" w:hAnsi="Aptos"/>
                <w:color w:themeColor="text1" w:val="000000"/>
                <w:sz w:val="20"/>
                <w:szCs w:val="20"/>
              </w:rPr>
            </w:r>
          </w:p>
        </w:tc>
      </w:tr>
    </w:tbl>
    <w:p>
      <w:pPr>
        <w:pStyle w:val="Normal"/>
        <w:rPr>
          <w:rFonts w:ascii="Aptos" w:hAnsi="Aptos" w:cs="Arial"/>
          <w:color w:val="0000FF"/>
          <w:sz w:val="20"/>
          <w:szCs w:val="20"/>
        </w:rPr>
      </w:pPr>
      <w:r>
        <w:rPr>
          <w:rFonts w:cs="Arial" w:ascii="Aptos" w:hAnsi="Aptos"/>
          <w:color w:val="0000FF"/>
          <w:sz w:val="20"/>
          <w:szCs w:val="20"/>
        </w:rPr>
      </w:r>
    </w:p>
    <w:tbl>
      <w:tblPr>
        <w:tblStyle w:val="TableGrid"/>
        <w:tblW w:w="8926" w:type="dxa"/>
        <w:jc w:val="left"/>
        <w:tblInd w:w="113" w:type="dxa"/>
        <w:tblLayout w:type="fixed"/>
        <w:tblCellMar>
          <w:top w:w="0" w:type="dxa"/>
          <w:left w:w="108" w:type="dxa"/>
          <w:bottom w:w="0" w:type="dxa"/>
          <w:right w:w="108" w:type="dxa"/>
        </w:tblCellMar>
        <w:tblLook w:val="04a0" w:noHBand="0" w:noVBand="1" w:firstColumn="1" w:lastRow="0" w:lastColumn="0" w:firstRow="1"/>
      </w:tblPr>
      <w:tblGrid>
        <w:gridCol w:w="8926"/>
      </w:tblGrid>
      <w:tr>
        <w:trPr/>
        <w:tc>
          <w:tcPr>
            <w:tcW w:w="8926" w:type="dxa"/>
            <w:tcBorders/>
            <w:shd w:color="auto" w:fill="F2F2F2" w:themeFill="background1" w:themeFillShade="f2" w:val="clear"/>
          </w:tcPr>
          <w:p>
            <w:pPr>
              <w:pStyle w:val="Normal"/>
              <w:widowControl/>
              <w:suppressAutoHyphens w:val="true"/>
              <w:spacing w:before="0" w:after="0"/>
              <w:jc w:val="left"/>
              <w:rPr>
                <w:rFonts w:ascii="Aptos" w:hAnsi="Aptos" w:cs="Arial"/>
                <w:color w:val="0000FF"/>
                <w:sz w:val="20"/>
                <w:szCs w:val="20"/>
              </w:rPr>
            </w:pPr>
            <w:r>
              <w:rPr>
                <w:rFonts w:cs="Arial" w:ascii="Aptos" w:hAnsi="Aptos"/>
                <w:b/>
                <w:kern w:val="0"/>
                <w:sz w:val="20"/>
                <w:szCs w:val="20"/>
                <w:lang w:eastAsia="en-US" w:bidi="ar-SA"/>
              </w:rPr>
              <w:t>Abstract of Taxonomy Proposal:</w:t>
            </w:r>
          </w:p>
        </w:tc>
      </w:tr>
      <w:tr>
        <w:trPr/>
        <w:tc>
          <w:tcPr>
            <w:tcW w:w="8926" w:type="dxa"/>
            <w:tcBorders/>
          </w:tcPr>
          <w:p>
            <w:pPr>
              <w:pStyle w:val="Normal"/>
              <w:widowControl/>
              <w:suppressAutoHyphens w:val="true"/>
              <w:spacing w:before="0" w:after="0"/>
              <w:jc w:val="left"/>
              <w:rPr>
                <w:rFonts w:ascii="Aptos" w:hAnsi="Aptos" w:cs="Arial"/>
                <w:b/>
                <w:i/>
                <w:i/>
                <w:color w:val="000000"/>
                <w:sz w:val="20"/>
                <w:szCs w:val="20"/>
              </w:rPr>
            </w:pPr>
            <w:r>
              <w:rPr>
                <w:rFonts w:cs="Arial" w:ascii="Aptos" w:hAnsi="Aptos"/>
                <w:b/>
                <w:i/>
                <w:color w:val="000000"/>
                <w:sz w:val="20"/>
                <w:szCs w:val="20"/>
              </w:rPr>
            </w:r>
          </w:p>
          <w:p>
            <w:pPr>
              <w:pStyle w:val="BodyText"/>
              <w:widowControl/>
              <w:suppressAutoHyphens w:val="true"/>
              <w:spacing w:lineRule="auto" w:line="288" w:before="0" w:after="0"/>
              <w:jc w:val="left"/>
              <w:rPr>
                <w:rFonts w:ascii="Aptos" w:hAnsi="Aptos"/>
                <w:color w:val="000000"/>
                <w:sz w:val="20"/>
                <w:szCs w:val="20"/>
              </w:rPr>
            </w:pPr>
            <w:r>
              <w:rPr>
                <w:rFonts w:ascii="Aptos" w:hAnsi="Aptos"/>
                <w:i/>
                <w:iCs/>
                <w:color w:val="000000"/>
                <w:kern w:val="0"/>
                <w:sz w:val="20"/>
                <w:szCs w:val="20"/>
                <w:u w:val="single"/>
                <w:lang w:eastAsia="en-US" w:bidi="ar-SA"/>
              </w:rPr>
              <w:t>Taxonomic rank(s) affected:</w:t>
            </w:r>
          </w:p>
          <w:p>
            <w:pPr>
              <w:pStyle w:val="Normal"/>
              <w:widowControl/>
              <w:suppressAutoHyphens w:val="true"/>
              <w:spacing w:lineRule="auto" w:line="288" w:before="0" w:after="0"/>
              <w:jc w:val="left"/>
              <w:rPr>
                <w:rFonts w:ascii="Aptos" w:hAnsi="Aptos"/>
                <w:i/>
                <w:i/>
                <w:color w:val="000000"/>
                <w:sz w:val="20"/>
                <w:szCs w:val="20"/>
              </w:rPr>
            </w:pPr>
            <w:bookmarkStart w:id="0" w:name="docs-internal-guid-72084287-7fff-5b41-06"/>
            <w:bookmarkEnd w:id="0"/>
            <w:r>
              <w:rPr>
                <w:rFonts w:ascii="Aptos" w:hAnsi="Aptos"/>
                <w:i/>
                <w:color w:val="000000"/>
                <w:kern w:val="0"/>
                <w:sz w:val="20"/>
                <w:szCs w:val="20"/>
                <w:lang w:eastAsia="en-US" w:bidi="ar-SA"/>
              </w:rPr>
              <w:t>Monodnaviria; Sangervirae; Phixviricota</w:t>
            </w:r>
          </w:p>
          <w:p>
            <w:pPr>
              <w:pStyle w:val="BodyText"/>
              <w:widowControl/>
              <w:suppressAutoHyphens w:val="true"/>
              <w:spacing w:lineRule="auto" w:line="288" w:before="0" w:after="0"/>
              <w:jc w:val="left"/>
              <w:rPr>
                <w:rFonts w:ascii="Aptos" w:hAnsi="Aptos"/>
                <w:color w:val="000000"/>
                <w:sz w:val="20"/>
                <w:szCs w:val="20"/>
              </w:rPr>
            </w:pPr>
            <w:r>
              <w:rPr>
                <w:rFonts w:ascii="Aptos" w:hAnsi="Aptos"/>
                <w:color w:val="000000"/>
                <w:sz w:val="20"/>
                <w:szCs w:val="20"/>
              </w:rPr>
            </w:r>
          </w:p>
          <w:p>
            <w:pPr>
              <w:pStyle w:val="BodyText"/>
              <w:widowControl/>
              <w:suppressAutoHyphens w:val="true"/>
              <w:spacing w:lineRule="auto" w:line="288" w:before="0" w:after="0"/>
              <w:jc w:val="left"/>
              <w:rPr>
                <w:rFonts w:ascii="Aptos" w:hAnsi="Aptos"/>
                <w:i/>
                <w:i/>
                <w:iCs/>
                <w:color w:val="000000"/>
                <w:sz w:val="20"/>
                <w:szCs w:val="20"/>
                <w:u w:val="single"/>
              </w:rPr>
            </w:pPr>
            <w:r>
              <w:rPr>
                <w:rFonts w:ascii="Aptos" w:hAnsi="Aptos"/>
                <w:i/>
                <w:iCs/>
                <w:color w:val="000000"/>
                <w:kern w:val="0"/>
                <w:sz w:val="20"/>
                <w:szCs w:val="20"/>
                <w:u w:val="single"/>
                <w:lang w:eastAsia="en-US" w:bidi="ar-SA"/>
              </w:rPr>
              <w:t>Description of current taxonomy:</w:t>
            </w:r>
          </w:p>
          <w:p>
            <w:pPr>
              <w:pStyle w:val="BodyText"/>
              <w:widowControl/>
              <w:suppressAutoHyphens w:val="true"/>
              <w:spacing w:lineRule="auto" w:line="288" w:before="0" w:after="0"/>
              <w:jc w:val="left"/>
              <w:rPr>
                <w:rFonts w:ascii="Aptos" w:hAnsi="Aptos"/>
                <w:color w:val="000000"/>
                <w:sz w:val="20"/>
                <w:szCs w:val="20"/>
                <w:lang w:val="en-US"/>
              </w:rPr>
            </w:pPr>
            <w:r>
              <w:rPr>
                <w:rFonts w:cs="Arial" w:ascii="Aptos" w:hAnsi="Aptos"/>
                <w:color w:themeColor="text1" w:val="000000"/>
                <w:kern w:val="0"/>
                <w:sz w:val="20"/>
                <w:szCs w:val="20"/>
                <w:lang w:val="en-US" w:eastAsia="en-US" w:bidi="ar-SA"/>
              </w:rPr>
              <w:t>Phylum </w:t>
            </w:r>
            <w:r>
              <w:rPr>
                <w:rFonts w:cs="Arial" w:ascii="Aptos" w:hAnsi="Aptos"/>
                <w:i/>
                <w:iCs/>
                <w:color w:themeColor="text1" w:val="000000"/>
                <w:kern w:val="0"/>
                <w:sz w:val="20"/>
                <w:szCs w:val="20"/>
                <w:lang w:val="en-US" w:eastAsia="en-US" w:bidi="ar-SA"/>
              </w:rPr>
              <w:t>Phixviricota</w:t>
            </w:r>
            <w:r>
              <w:rPr>
                <w:rFonts w:cs="Arial" w:ascii="Aptos" w:hAnsi="Aptos"/>
                <w:color w:themeColor="text1" w:val="000000"/>
                <w:kern w:val="0"/>
                <w:sz w:val="20"/>
                <w:szCs w:val="20"/>
                <w:lang w:val="en-US" w:eastAsia="en-US" w:bidi="ar-SA"/>
              </w:rPr>
              <w:t xml:space="preserve"> currently includes a monotypic family </w:t>
            </w:r>
            <w:r>
              <w:rPr>
                <w:rFonts w:cs="Arial" w:ascii="Aptos" w:hAnsi="Aptos"/>
                <w:i/>
                <w:iCs/>
                <w:color w:themeColor="text1" w:val="000000"/>
                <w:kern w:val="0"/>
                <w:sz w:val="20"/>
                <w:szCs w:val="20"/>
                <w:lang w:val="en-US" w:eastAsia="en-US" w:bidi="ar-SA"/>
              </w:rPr>
              <w:t>Microviridae</w:t>
            </w:r>
            <w:r>
              <w:rPr>
                <w:rFonts w:cs="Arial" w:ascii="Aptos" w:hAnsi="Aptos"/>
                <w:color w:themeColor="text1" w:val="000000"/>
                <w:kern w:val="0"/>
                <w:sz w:val="20"/>
                <w:szCs w:val="20"/>
                <w:lang w:val="en-US" w:eastAsia="en-US" w:bidi="ar-SA"/>
              </w:rPr>
              <w:t xml:space="preserve"> with two subfamilies (</w:t>
            </w:r>
            <w:r>
              <w:rPr>
                <w:rFonts w:cs="Arial" w:ascii="Aptos" w:hAnsi="Aptos"/>
                <w:i/>
                <w:iCs/>
                <w:color w:themeColor="text1" w:val="000000"/>
                <w:kern w:val="0"/>
                <w:sz w:val="20"/>
                <w:szCs w:val="20"/>
                <w:lang w:val="en-US" w:eastAsia="en-US" w:bidi="ar-SA"/>
              </w:rPr>
              <w:t>Bullavirinae</w:t>
            </w:r>
            <w:r>
              <w:rPr>
                <w:rFonts w:cs="Arial" w:ascii="Aptos" w:hAnsi="Aptos"/>
                <w:color w:themeColor="text1" w:val="000000"/>
                <w:kern w:val="0"/>
                <w:sz w:val="20"/>
                <w:szCs w:val="20"/>
                <w:lang w:val="en-US" w:eastAsia="en-US" w:bidi="ar-SA"/>
              </w:rPr>
              <w:t xml:space="preserve"> and </w:t>
            </w:r>
            <w:r>
              <w:rPr>
                <w:rFonts w:cs="Arial" w:ascii="Aptos" w:hAnsi="Aptos"/>
                <w:i/>
                <w:iCs/>
                <w:color w:themeColor="text1" w:val="000000"/>
                <w:kern w:val="0"/>
                <w:sz w:val="20"/>
                <w:szCs w:val="20"/>
                <w:lang w:val="en-US" w:eastAsia="en-US" w:bidi="ar-SA"/>
              </w:rPr>
              <w:t>Gokushovirinae</w:t>
            </w:r>
            <w:r>
              <w:rPr>
                <w:rFonts w:cs="Arial" w:ascii="Aptos" w:hAnsi="Aptos"/>
                <w:color w:themeColor="text1" w:val="000000"/>
                <w:kern w:val="0"/>
                <w:sz w:val="20"/>
                <w:szCs w:val="20"/>
                <w:lang w:val="en-US" w:eastAsia="en-US" w:bidi="ar-SA"/>
              </w:rPr>
              <w:t>).</w:t>
            </w:r>
          </w:p>
          <w:p>
            <w:pPr>
              <w:pStyle w:val="BodyText"/>
              <w:widowControl/>
              <w:suppressAutoHyphens w:val="true"/>
              <w:spacing w:lineRule="auto" w:line="288" w:before="0" w:after="0"/>
              <w:jc w:val="left"/>
              <w:rPr>
                <w:rFonts w:cs="Arial"/>
                <w:bCs/>
                <w:iCs/>
              </w:rPr>
            </w:pPr>
            <w:r>
              <w:rPr>
                <w:rFonts w:cs="Arial"/>
                <w:bCs/>
                <w:iCs/>
              </w:rPr>
            </w:r>
          </w:p>
          <w:p>
            <w:pPr>
              <w:pStyle w:val="BodyText"/>
              <w:widowControl/>
              <w:suppressAutoHyphens w:val="true"/>
              <w:spacing w:lineRule="auto" w:line="288" w:before="0" w:after="0"/>
              <w:jc w:val="left"/>
              <w:rPr>
                <w:rFonts w:ascii="Aptos" w:hAnsi="Aptos"/>
                <w:color w:val="000000"/>
                <w:sz w:val="20"/>
                <w:szCs w:val="20"/>
                <w:u w:val="single"/>
              </w:rPr>
            </w:pPr>
            <w:r>
              <w:rPr>
                <w:rFonts w:ascii="Aptos" w:hAnsi="Aptos"/>
                <w:i/>
                <w:color w:val="000000"/>
                <w:kern w:val="0"/>
                <w:sz w:val="20"/>
                <w:szCs w:val="20"/>
                <w:u w:val="single"/>
                <w:lang w:eastAsia="en-US" w:bidi="ar-SA"/>
              </w:rPr>
              <w:t>Proposed</w:t>
            </w:r>
            <w:r>
              <w:rPr>
                <w:rFonts w:ascii="Aptos" w:hAnsi="Aptos"/>
                <w:color w:val="000000"/>
                <w:kern w:val="0"/>
                <w:sz w:val="20"/>
                <w:szCs w:val="20"/>
                <w:u w:val="single"/>
                <w:lang w:eastAsia="en-US" w:bidi="ar-SA"/>
              </w:rPr>
              <w:t xml:space="preserve"> </w:t>
            </w:r>
            <w:r>
              <w:rPr>
                <w:rFonts w:ascii="Aptos" w:hAnsi="Aptos"/>
                <w:i/>
                <w:color w:val="000000"/>
                <w:kern w:val="0"/>
                <w:sz w:val="20"/>
                <w:szCs w:val="20"/>
                <w:u w:val="single"/>
                <w:lang w:eastAsia="en-US" w:bidi="ar-SA"/>
              </w:rPr>
              <w:t>taxonomic change(s):</w:t>
            </w:r>
          </w:p>
          <w:p>
            <w:pPr>
              <w:pStyle w:val="Normal"/>
              <w:widowControl/>
              <w:suppressAutoHyphens w:val="true"/>
              <w:spacing w:lineRule="auto" w:line="288" w:before="0" w:after="0"/>
              <w:jc w:val="both"/>
              <w:rPr>
                <w:rFonts w:ascii="Aptos" w:hAnsi="Aptos"/>
                <w:color w:val="000000"/>
                <w:sz w:val="20"/>
                <w:szCs w:val="20"/>
              </w:rPr>
            </w:pPr>
            <w:bookmarkStart w:id="1" w:name="docs-internal-guid-a300c723-7fff-f962-f8"/>
            <w:bookmarkEnd w:id="1"/>
            <w:r>
              <w:rPr>
                <w:rFonts w:ascii="Aptos" w:hAnsi="Aptos"/>
                <w:color w:val="000000"/>
                <w:kern w:val="0"/>
                <w:sz w:val="20"/>
                <w:szCs w:val="20"/>
                <w:lang w:eastAsia="en-US" w:bidi="ar-SA"/>
              </w:rPr>
              <w:t>We propose to elevate family</w:t>
            </w:r>
            <w:r>
              <w:rPr>
                <w:rFonts w:ascii="Aptos" w:hAnsi="Aptos"/>
                <w:i/>
                <w:color w:val="000000"/>
                <w:kern w:val="0"/>
                <w:sz w:val="20"/>
                <w:szCs w:val="20"/>
                <w:lang w:eastAsia="en-US" w:bidi="ar-SA"/>
              </w:rPr>
              <w:t xml:space="preserve"> </w:t>
            </w:r>
            <w:r>
              <w:rPr>
                <w:rFonts w:ascii="Aptos" w:hAnsi="Aptos"/>
                <w:i/>
                <w:iCs/>
                <w:color w:val="000000"/>
                <w:kern w:val="0"/>
                <w:sz w:val="20"/>
                <w:szCs w:val="20"/>
                <w:lang w:eastAsia="en-US" w:bidi="ar-SA"/>
              </w:rPr>
              <w:t xml:space="preserve">Microviridae </w:t>
            </w:r>
            <w:r>
              <w:rPr>
                <w:rFonts w:ascii="Aptos" w:hAnsi="Aptos"/>
                <w:color w:val="000000"/>
                <w:kern w:val="0"/>
                <w:sz w:val="20"/>
                <w:szCs w:val="20"/>
                <w:lang w:eastAsia="en-US" w:bidi="ar-SA"/>
              </w:rPr>
              <w:t>to the level of a class, the “</w:t>
            </w:r>
            <w:r>
              <w:rPr>
                <w:rFonts w:ascii="Aptos" w:hAnsi="Aptos"/>
                <w:i/>
                <w:color w:val="000000"/>
                <w:kern w:val="0"/>
                <w:sz w:val="20"/>
                <w:szCs w:val="20"/>
                <w:lang w:eastAsia="en-US" w:bidi="ar-SA"/>
              </w:rPr>
              <w:t>Microviricetes</w:t>
            </w:r>
            <w:r>
              <w:rPr>
                <w:rFonts w:ascii="Aptos" w:hAnsi="Aptos"/>
                <w:color w:val="000000"/>
                <w:kern w:val="0"/>
                <w:sz w:val="20"/>
                <w:szCs w:val="20"/>
                <w:lang w:eastAsia="en-US" w:bidi="ar-SA"/>
              </w:rPr>
              <w:t xml:space="preserve">”, within phylum </w:t>
            </w:r>
            <w:r>
              <w:rPr>
                <w:rFonts w:ascii="Aptos" w:hAnsi="Aptos"/>
                <w:i/>
                <w:color w:val="000000"/>
                <w:kern w:val="0"/>
                <w:sz w:val="20"/>
                <w:szCs w:val="20"/>
                <w:lang w:eastAsia="en-US" w:bidi="ar-SA"/>
              </w:rPr>
              <w:t>Sangervirae</w:t>
            </w:r>
            <w:r>
              <w:rPr>
                <w:rFonts w:ascii="Aptos" w:hAnsi="Aptos"/>
                <w:color w:val="000000"/>
                <w:kern w:val="0"/>
                <w:sz w:val="20"/>
                <w:szCs w:val="20"/>
                <w:lang w:eastAsia="en-US" w:bidi="ar-SA"/>
              </w:rPr>
              <w:t xml:space="preserve"> (realm </w:t>
            </w:r>
            <w:r>
              <w:rPr>
                <w:rFonts w:ascii="Aptos" w:hAnsi="Aptos"/>
                <w:i/>
                <w:color w:val="000000"/>
                <w:kern w:val="0"/>
                <w:sz w:val="20"/>
                <w:szCs w:val="20"/>
                <w:lang w:eastAsia="en-US" w:bidi="ar-SA"/>
              </w:rPr>
              <w:t>Monodnaviria)</w:t>
            </w:r>
            <w:r>
              <w:rPr>
                <w:rFonts w:ascii="Aptos" w:hAnsi="Aptos"/>
                <w:color w:val="000000"/>
                <w:kern w:val="0"/>
                <w:sz w:val="20"/>
                <w:szCs w:val="20"/>
                <w:lang w:eastAsia="en-US" w:bidi="ar-SA"/>
              </w:rPr>
              <w:t>. Inside this new class, we propose seven orders and 21 families.</w:t>
            </w:r>
          </w:p>
          <w:p>
            <w:pPr>
              <w:pStyle w:val="BodyText"/>
              <w:widowControl/>
              <w:suppressAutoHyphens w:val="true"/>
              <w:spacing w:lineRule="auto" w:line="288" w:before="0" w:after="0"/>
              <w:jc w:val="both"/>
              <w:rPr>
                <w:rFonts w:ascii="Aptos" w:hAnsi="Aptos"/>
                <w:color w:val="000000"/>
                <w:sz w:val="20"/>
                <w:szCs w:val="20"/>
              </w:rPr>
            </w:pPr>
            <w:r>
              <w:rPr>
                <w:rFonts w:ascii="Aptos" w:hAnsi="Aptos"/>
                <w:color w:val="000000"/>
                <w:sz w:val="20"/>
                <w:szCs w:val="20"/>
              </w:rPr>
            </w:r>
          </w:p>
          <w:p>
            <w:pPr>
              <w:pStyle w:val="BodyText"/>
              <w:widowControl/>
              <w:suppressAutoHyphens w:val="true"/>
              <w:spacing w:lineRule="auto" w:line="288" w:before="0" w:after="0"/>
              <w:jc w:val="left"/>
              <w:rPr>
                <w:rFonts w:ascii="Aptos" w:hAnsi="Aptos"/>
                <w:color w:val="000000"/>
                <w:sz w:val="20"/>
                <w:szCs w:val="20"/>
              </w:rPr>
            </w:pPr>
            <w:r>
              <w:rPr>
                <w:rFonts w:ascii="Aptos" w:hAnsi="Aptos"/>
                <w:i/>
                <w:color w:val="000000"/>
                <w:kern w:val="0"/>
                <w:sz w:val="20"/>
                <w:szCs w:val="20"/>
                <w:u w:val="single"/>
                <w:lang w:eastAsia="en-US" w:bidi="ar-SA"/>
              </w:rPr>
              <w:t>Justification</w:t>
            </w:r>
            <w:r>
              <w:rPr>
                <w:rFonts w:ascii="Aptos" w:hAnsi="Aptos"/>
                <w:color w:val="000000"/>
                <w:kern w:val="0"/>
                <w:sz w:val="20"/>
                <w:szCs w:val="20"/>
                <w:lang w:eastAsia="en-US" w:bidi="ar-SA"/>
              </w:rPr>
              <w:t>:</w:t>
            </w:r>
          </w:p>
          <w:p>
            <w:pPr>
              <w:pStyle w:val="Normal"/>
              <w:widowControl/>
              <w:suppressAutoHyphens w:val="true"/>
              <w:spacing w:lineRule="auto" w:line="288" w:before="0" w:after="0"/>
              <w:jc w:val="both"/>
              <w:rPr>
                <w:rFonts w:ascii="Aptos" w:hAnsi="Aptos"/>
                <w:color w:val="000000"/>
                <w:sz w:val="20"/>
                <w:szCs w:val="20"/>
              </w:rPr>
            </w:pPr>
            <w:bookmarkStart w:id="2" w:name="docs-internal-guid-2612eea4-7fff-0c89-bf"/>
            <w:bookmarkEnd w:id="2"/>
            <w:r>
              <w:rPr>
                <w:rFonts w:ascii="Aptos" w:hAnsi="Aptos"/>
                <w:color w:val="000000"/>
                <w:kern w:val="0"/>
                <w:sz w:val="20"/>
                <w:szCs w:val="20"/>
                <w:lang w:eastAsia="en-US" w:bidi="ar-SA"/>
              </w:rPr>
              <w:t xml:space="preserve">Metagenomic studies from the past decade have revealed many new microvirus genomes across ecosystems. Phylogenetic assessment confirmed that the established taxonomic structure of two existing subfamilies of </w:t>
            </w:r>
            <w:r>
              <w:rPr>
                <w:rFonts w:ascii="Aptos" w:hAnsi="Aptos"/>
                <w:i/>
                <w:color w:val="000000"/>
                <w:kern w:val="0"/>
                <w:sz w:val="20"/>
                <w:szCs w:val="20"/>
                <w:lang w:eastAsia="en-US" w:bidi="ar-SA"/>
              </w:rPr>
              <w:t xml:space="preserve">Microviridae </w:t>
            </w:r>
            <w:r>
              <w:rPr>
                <w:rFonts w:ascii="Aptos" w:hAnsi="Aptos"/>
                <w:color w:val="000000"/>
                <w:kern w:val="0"/>
                <w:sz w:val="20"/>
                <w:szCs w:val="20"/>
                <w:lang w:eastAsia="en-US" w:bidi="ar-SA"/>
              </w:rPr>
              <w:t>cannot adequately represent the diversity of this viral group. Thus, we propose a reorganization of the established taxonomy of microviruses by assessing the relationships between 21 previously classified and 137 new representative complete microvirus genome sequences obtained from either cultivated viruses or from metagenomic datasets. Orders and families were defined by their separation on the major capsid protein phylogeny.</w:t>
            </w:r>
          </w:p>
          <w:p>
            <w:pPr>
              <w:pStyle w:val="BodyText"/>
              <w:widowControl/>
              <w:suppressAutoHyphens w:val="true"/>
              <w:spacing w:lineRule="auto" w:line="288" w:before="0" w:after="0"/>
              <w:jc w:val="both"/>
              <w:rPr>
                <w:rFonts w:ascii="Aptos" w:hAnsi="Aptos"/>
                <w:color w:val="000000"/>
                <w:sz w:val="20"/>
                <w:szCs w:val="20"/>
              </w:rPr>
            </w:pPr>
            <w:r>
              <w:rPr>
                <w:rFonts w:ascii="Aptos" w:hAnsi="Aptos"/>
                <w:color w:val="000000"/>
                <w:sz w:val="20"/>
                <w:szCs w:val="20"/>
              </w:rPr>
            </w:r>
          </w:p>
          <w:p>
            <w:pPr>
              <w:pStyle w:val="Normal"/>
              <w:widowControl/>
              <w:suppressAutoHyphens w:val="true"/>
              <w:spacing w:before="0" w:after="0"/>
              <w:jc w:val="both"/>
              <w:rPr>
                <w:rFonts w:ascii="Arial" w:hAnsi="Arial" w:cs="Arial"/>
                <w:bCs/>
                <w:iCs/>
                <w:sz w:val="22"/>
                <w:szCs w:val="22"/>
              </w:rPr>
            </w:pPr>
            <w:r>
              <w:rPr>
                <w:rFonts w:cs="Arial" w:ascii="Arial" w:hAnsi="Arial"/>
                <w:bCs/>
                <w:iCs/>
                <w:sz w:val="22"/>
                <w:szCs w:val="22"/>
              </w:rPr>
            </w:r>
          </w:p>
          <w:p>
            <w:pPr>
              <w:pStyle w:val="Normal"/>
              <w:widowControl/>
              <w:suppressAutoHyphens w:val="true"/>
              <w:spacing w:before="0" w:after="0"/>
              <w:jc w:val="left"/>
              <w:rPr>
                <w:rFonts w:ascii="Aptos" w:hAnsi="Aptos" w:cs="Arial"/>
                <w:color w:val="C9211E"/>
                <w:sz w:val="20"/>
                <w:szCs w:val="20"/>
              </w:rPr>
            </w:pPr>
            <w:r>
              <w:rPr>
                <w:rFonts w:cs="Arial" w:ascii="Aptos" w:hAnsi="Aptos"/>
                <w:color w:val="C9211E"/>
                <w:sz w:val="20"/>
                <w:szCs w:val="20"/>
              </w:rPr>
            </w:r>
          </w:p>
        </w:tc>
      </w:tr>
    </w:tbl>
    <w:p>
      <w:pPr>
        <w:pStyle w:val="Normal"/>
        <w:rPr>
          <w:rFonts w:ascii="Aptos" w:hAnsi="Aptos" w:cs="Arial"/>
          <w:color w:val="0000FF"/>
          <w:sz w:val="20"/>
          <w:szCs w:val="20"/>
        </w:rPr>
      </w:pPr>
      <w:r>
        <w:rPr>
          <w:rFonts w:cs="Arial" w:ascii="Aptos" w:hAnsi="Aptos"/>
          <w:color w:val="0000FF"/>
          <w:sz w:val="20"/>
          <w:szCs w:val="20"/>
        </w:rPr>
      </w:r>
    </w:p>
    <w:tbl>
      <w:tblPr>
        <w:tblStyle w:val="TableGrid"/>
        <w:tblW w:w="8926" w:type="dxa"/>
        <w:jc w:val="left"/>
        <w:tblInd w:w="113" w:type="dxa"/>
        <w:tblLayout w:type="fixed"/>
        <w:tblCellMar>
          <w:top w:w="0" w:type="dxa"/>
          <w:left w:w="108" w:type="dxa"/>
          <w:bottom w:w="0" w:type="dxa"/>
          <w:right w:w="108" w:type="dxa"/>
        </w:tblCellMar>
        <w:tblLook w:val="04a0" w:noHBand="0" w:noVBand="1" w:firstColumn="1" w:lastRow="0" w:lastColumn="0" w:firstRow="1"/>
      </w:tblPr>
      <w:tblGrid>
        <w:gridCol w:w="8926"/>
      </w:tblGrid>
      <w:tr>
        <w:trPr/>
        <w:tc>
          <w:tcPr>
            <w:tcW w:w="8926" w:type="dxa"/>
            <w:tcBorders/>
            <w:shd w:color="auto" w:fill="F2F2F2" w:themeFill="background1" w:themeFillShade="f2" w:val="clear"/>
          </w:tcPr>
          <w:p>
            <w:pPr>
              <w:pStyle w:val="BodyTextIndent"/>
              <w:widowControl/>
              <w:numPr>
                <w:ilvl w:val="0"/>
                <w:numId w:val="1"/>
              </w:numPr>
              <w:suppressAutoHyphens w:val="true"/>
              <w:spacing w:before="0" w:after="0"/>
              <w:jc w:val="left"/>
              <w:rPr>
                <w:rFonts w:ascii="Aptos" w:hAnsi="Aptos" w:cs="Arial"/>
                <w:color w:val="0000FF"/>
                <w:sz w:val="20"/>
              </w:rPr>
            </w:pPr>
            <w:r>
              <w:rPr>
                <w:rFonts w:cs="Arial" w:ascii="Aptos" w:hAnsi="Aptos"/>
                <w:b/>
                <w:color w:val="000000"/>
                <w:kern w:val="0"/>
                <w:sz w:val="20"/>
                <w:lang w:bidi="ar-SA"/>
              </w:rPr>
              <w:t>Text of Taxonomy proposal:</w:t>
            </w:r>
          </w:p>
          <w:p>
            <w:pPr>
              <w:pStyle w:val="BodyTextIndent"/>
              <w:widowControl/>
              <w:suppressAutoHyphens w:val="true"/>
              <w:spacing w:before="0" w:after="0"/>
              <w:ind w:hanging="0" w:left="720"/>
              <w:jc w:val="left"/>
              <w:rPr>
                <w:rFonts w:ascii="Aptos" w:hAnsi="Aptos" w:cs="Arial"/>
                <w:color w:val="0000FF"/>
                <w:sz w:val="20"/>
              </w:rPr>
            </w:pPr>
            <w:r>
              <w:rPr>
                <w:rFonts w:cs="Arial" w:ascii="Aptos" w:hAnsi="Aptos"/>
                <w:color w:val="0000FF"/>
                <w:sz w:val="20"/>
              </w:rPr>
            </w:r>
          </w:p>
        </w:tc>
      </w:tr>
      <w:tr>
        <w:trPr/>
        <w:tc>
          <w:tcPr>
            <w:tcW w:w="8926" w:type="dxa"/>
            <w:tcBorders/>
          </w:tcPr>
          <w:p>
            <w:pPr>
              <w:pStyle w:val="Normal"/>
              <w:widowControl/>
              <w:suppressAutoHyphens w:val="true"/>
              <w:spacing w:before="0" w:after="0"/>
              <w:jc w:val="left"/>
              <w:rPr>
                <w:rFonts w:ascii="Aptos" w:hAnsi="Aptos" w:cs="Arial"/>
                <w:b/>
                <w:i/>
                <w:i/>
                <w:color w:val="000000"/>
                <w:sz w:val="20"/>
                <w:szCs w:val="20"/>
              </w:rPr>
            </w:pPr>
            <w:r>
              <w:rPr>
                <w:rFonts w:cs="Arial" w:ascii="Aptos" w:hAnsi="Aptos"/>
                <w:b/>
                <w:i/>
                <w:color w:val="000000"/>
                <w:sz w:val="20"/>
                <w:szCs w:val="20"/>
              </w:rPr>
            </w:r>
          </w:p>
          <w:p>
            <w:pPr>
              <w:pStyle w:val="BodyText"/>
              <w:widowControl/>
              <w:suppressAutoHyphens w:val="true"/>
              <w:spacing w:lineRule="auto" w:line="288" w:before="0" w:after="0"/>
              <w:jc w:val="left"/>
              <w:rPr>
                <w:rFonts w:ascii="Aptos" w:hAnsi="Aptos"/>
                <w:color w:val="000000"/>
                <w:sz w:val="20"/>
                <w:szCs w:val="20"/>
              </w:rPr>
            </w:pPr>
            <w:r>
              <w:rPr>
                <w:rFonts w:ascii="Aptos" w:hAnsi="Aptos"/>
                <w:i/>
                <w:iCs/>
                <w:color w:val="000000"/>
                <w:kern w:val="0"/>
                <w:sz w:val="20"/>
                <w:szCs w:val="20"/>
                <w:u w:val="single"/>
                <w:lang w:eastAsia="en-US" w:bidi="ar-SA"/>
              </w:rPr>
              <w:t>Taxonomic rank(s) affected:</w:t>
            </w:r>
          </w:p>
          <w:p>
            <w:pPr>
              <w:pStyle w:val="Normal"/>
              <w:widowControl/>
              <w:suppressAutoHyphens w:val="true"/>
              <w:spacing w:lineRule="auto" w:line="288" w:before="0" w:after="0"/>
              <w:jc w:val="left"/>
              <w:rPr>
                <w:rFonts w:ascii="Aptos" w:hAnsi="Aptos"/>
                <w:i/>
                <w:i/>
                <w:color w:val="000000"/>
                <w:sz w:val="20"/>
                <w:szCs w:val="20"/>
              </w:rPr>
            </w:pPr>
            <w:bookmarkStart w:id="3" w:name="docs-internal-guid-f4aebae9-7fff-24c4-74"/>
            <w:bookmarkEnd w:id="3"/>
            <w:r>
              <w:rPr>
                <w:rFonts w:ascii="Aptos" w:hAnsi="Aptos"/>
                <w:i/>
                <w:color w:val="000000"/>
                <w:kern w:val="0"/>
                <w:sz w:val="20"/>
                <w:szCs w:val="20"/>
                <w:lang w:eastAsia="en-US" w:bidi="ar-SA"/>
              </w:rPr>
              <w:t>Monodnaviria; Sangervirae; Phixviricota</w:t>
            </w:r>
          </w:p>
          <w:p>
            <w:pPr>
              <w:pStyle w:val="BodyText"/>
              <w:widowControl/>
              <w:suppressAutoHyphens w:val="true"/>
              <w:spacing w:lineRule="auto" w:line="288" w:before="0" w:after="0"/>
              <w:jc w:val="left"/>
              <w:rPr>
                <w:rFonts w:ascii="Aptos" w:hAnsi="Aptos"/>
                <w:color w:val="000000"/>
                <w:sz w:val="20"/>
                <w:szCs w:val="20"/>
              </w:rPr>
            </w:pPr>
            <w:r>
              <w:rPr>
                <w:rFonts w:ascii="Aptos" w:hAnsi="Aptos"/>
                <w:color w:val="000000"/>
                <w:sz w:val="20"/>
                <w:szCs w:val="20"/>
              </w:rPr>
            </w:r>
          </w:p>
          <w:p>
            <w:pPr>
              <w:pStyle w:val="BodyText"/>
              <w:widowControl/>
              <w:suppressAutoHyphens w:val="true"/>
              <w:spacing w:lineRule="auto" w:line="288" w:before="0" w:after="0"/>
              <w:jc w:val="left"/>
              <w:rPr>
                <w:rFonts w:ascii="Aptos" w:hAnsi="Aptos"/>
                <w:i/>
                <w:i/>
                <w:iCs/>
                <w:color w:val="000000"/>
                <w:sz w:val="20"/>
                <w:szCs w:val="20"/>
                <w:u w:val="single"/>
              </w:rPr>
            </w:pPr>
            <w:r>
              <w:rPr>
                <w:rFonts w:ascii="Aptos" w:hAnsi="Aptos"/>
                <w:i/>
                <w:iCs/>
                <w:color w:val="000000"/>
                <w:kern w:val="0"/>
                <w:sz w:val="20"/>
                <w:szCs w:val="20"/>
                <w:u w:val="single"/>
                <w:lang w:eastAsia="en-US" w:bidi="ar-SA"/>
              </w:rPr>
              <w:t>Description of current taxonomy:</w:t>
            </w:r>
          </w:p>
          <w:p>
            <w:pPr>
              <w:pStyle w:val="Normal"/>
              <w:widowControl/>
              <w:suppressAutoHyphens w:val="true"/>
              <w:spacing w:before="0" w:after="0"/>
              <w:jc w:val="both"/>
              <w:rPr>
                <w:rFonts w:ascii="Aptos" w:hAnsi="Aptos" w:cs="Arial"/>
                <w:color w:val="C9211E"/>
                <w:kern w:val="0"/>
                <w:sz w:val="20"/>
                <w:szCs w:val="20"/>
                <w:lang w:eastAsia="en-US" w:bidi="ar-SA"/>
              </w:rPr>
            </w:pPr>
            <w:r>
              <w:rPr>
                <w:rFonts w:cs="Arial" w:ascii="Aptos" w:hAnsi="Aptos"/>
                <w:color w:val="C9211E"/>
                <w:kern w:val="0"/>
                <w:sz w:val="20"/>
                <w:szCs w:val="20"/>
                <w:lang w:eastAsia="en-US" w:bidi="ar-SA"/>
              </w:rPr>
              <w:t xml:space="preserve">The phylum </w:t>
            </w:r>
            <w:r>
              <w:rPr>
                <w:rFonts w:cs="Arial" w:ascii="Aptos" w:hAnsi="Aptos"/>
                <w:i/>
                <w:iCs/>
                <w:color w:val="C9211E"/>
                <w:kern w:val="0"/>
                <w:sz w:val="20"/>
                <w:szCs w:val="20"/>
                <w:lang w:eastAsia="en-US" w:bidi="ar-SA"/>
              </w:rPr>
              <w:t>Phixviricota</w:t>
            </w:r>
            <w:r>
              <w:rPr>
                <w:rFonts w:cs="Arial" w:ascii="Aptos" w:hAnsi="Aptos"/>
                <w:color w:val="C9211E"/>
                <w:kern w:val="0"/>
                <w:sz w:val="20"/>
                <w:szCs w:val="20"/>
                <w:lang w:eastAsia="en-US" w:bidi="ar-SA"/>
              </w:rPr>
              <w:t xml:space="preserve"> includes bacterial viruses classified in the class </w:t>
            </w:r>
            <w:r>
              <w:rPr>
                <w:rFonts w:cs="Arial" w:ascii="Aptos" w:hAnsi="Aptos"/>
                <w:i/>
                <w:iCs/>
                <w:color w:val="C9211E"/>
                <w:kern w:val="0"/>
                <w:sz w:val="20"/>
                <w:szCs w:val="20"/>
                <w:lang w:eastAsia="en-US" w:bidi="ar-SA"/>
              </w:rPr>
              <w:t>Malgrandaviricetes</w:t>
            </w:r>
            <w:r>
              <w:rPr>
                <w:rFonts w:cs="Arial" w:ascii="Aptos" w:hAnsi="Aptos"/>
                <w:color w:val="C9211E"/>
                <w:kern w:val="0"/>
                <w:sz w:val="20"/>
                <w:szCs w:val="20"/>
                <w:lang w:eastAsia="en-US" w:bidi="ar-SA"/>
              </w:rPr>
              <w:t xml:space="preserve">, order </w:t>
            </w:r>
            <w:r>
              <w:rPr>
                <w:rFonts w:cs="Arial" w:ascii="Aptos" w:hAnsi="Aptos"/>
                <w:i/>
                <w:iCs/>
                <w:color w:val="C9211E"/>
                <w:kern w:val="0"/>
                <w:sz w:val="20"/>
                <w:szCs w:val="20"/>
                <w:lang w:eastAsia="en-US" w:bidi="ar-SA"/>
              </w:rPr>
              <w:t>Petitvirales</w:t>
            </w:r>
            <w:r>
              <w:rPr>
                <w:rFonts w:cs="Arial" w:ascii="Aptos" w:hAnsi="Aptos"/>
                <w:color w:val="C9211E"/>
                <w:kern w:val="0"/>
                <w:sz w:val="20"/>
                <w:szCs w:val="20"/>
                <w:lang w:eastAsia="en-US" w:bidi="ar-SA"/>
              </w:rPr>
              <w:t xml:space="preserve"> and a single family, </w:t>
            </w:r>
            <w:r>
              <w:rPr>
                <w:rFonts w:cs="Arial" w:ascii="Aptos" w:hAnsi="Aptos"/>
                <w:i/>
                <w:iCs/>
                <w:color w:val="C9211E"/>
                <w:kern w:val="0"/>
                <w:sz w:val="20"/>
                <w:szCs w:val="20"/>
                <w:lang w:eastAsia="en-US" w:bidi="ar-SA"/>
              </w:rPr>
              <w:t>Microviridae</w:t>
            </w:r>
            <w:r>
              <w:rPr>
                <w:rFonts w:cs="Arial" w:ascii="Aptos" w:hAnsi="Aptos"/>
                <w:color w:val="C9211E"/>
                <w:kern w:val="0"/>
                <w:sz w:val="20"/>
                <w:szCs w:val="20"/>
                <w:lang w:eastAsia="en-US" w:bidi="ar-SA"/>
              </w:rPr>
              <w:t xml:space="preserve">. The family includes two subfamilies, the </w:t>
            </w:r>
            <w:r>
              <w:rPr>
                <w:rFonts w:cs="Arial" w:ascii="Aptos" w:hAnsi="Aptos"/>
                <w:i/>
                <w:iCs/>
                <w:color w:val="C9211E"/>
                <w:kern w:val="0"/>
                <w:sz w:val="20"/>
                <w:szCs w:val="20"/>
                <w:lang w:val="en-US" w:eastAsia="en-US" w:bidi="ar-SA"/>
              </w:rPr>
              <w:t>Bullavirinae</w:t>
            </w:r>
            <w:r>
              <w:rPr>
                <w:rFonts w:cs="Arial" w:ascii="Aptos" w:hAnsi="Aptos"/>
                <w:color w:val="C9211E"/>
                <w:kern w:val="0"/>
                <w:sz w:val="20"/>
                <w:szCs w:val="20"/>
                <w:lang w:val="en-US" w:eastAsia="en-US" w:bidi="ar-SA"/>
              </w:rPr>
              <w:t xml:space="preserve"> and </w:t>
            </w:r>
            <w:r>
              <w:rPr>
                <w:rFonts w:cs="Arial" w:ascii="Aptos" w:hAnsi="Aptos"/>
                <w:i/>
                <w:iCs/>
                <w:color w:val="C9211E"/>
                <w:kern w:val="0"/>
                <w:sz w:val="20"/>
                <w:szCs w:val="20"/>
                <w:lang w:val="en-US" w:eastAsia="en-US" w:bidi="ar-SA"/>
              </w:rPr>
              <w:t>Gokushovirinae</w:t>
            </w:r>
            <w:r>
              <w:rPr>
                <w:rFonts w:cs="Arial" w:ascii="Aptos" w:hAnsi="Aptos"/>
                <w:color w:val="C9211E"/>
                <w:kern w:val="0"/>
                <w:sz w:val="20"/>
                <w:szCs w:val="20"/>
                <w:lang w:eastAsia="en-US" w:bidi="ar-SA"/>
              </w:rPr>
              <w:t>, and seven genera. Please find below a list of all subfamilies, genera and species :</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Bullavirinae; Alphatrevirus; Alphatrevirus alpha3</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Bullavirinae; Alphatrevirus; Alphatrevirus ID21</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Bullavirinae; Alphatrevirus; Alphatrevirus ID32</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Bullavirinae; Alphatrevirus; Alphatrevirus ID62</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Bullavirinae; Alphatrevirus; Alphatrevirus NC28</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Bullavirinae; Alphatrevirus; Alphatrevirus NC29</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Bullavirinae; Alphatrevirus; Alphatrevirus NC35</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Bullavirinae; Alphatrevirus; Alphatrevirus phiK</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Bullavirinae; Alphatrevirus; Alphatrevirus St1</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Bullavirinae; Alphatrevirus; Alphatrevirus WA45</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Bullavirinae; Gequatrovirus; Gequatrovirus G4</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Bullavirinae; Gequatrovirus; Gequatrovirus ID52</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Bullavirinae; Gequatrovirus; Gequatrovirus talmos</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Bullavirinae; Sinsheimervirus; Sinsheimervirus phiX174</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Gokushovirinae; Bdellomicrovirus; Bdellomicrovirus MH2K</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Gokushovirinae; Bdellomicrovirus; Bdellovibrio virus MAC1</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Gokushovirinae; Chlamydiamicrovirus; Chlamydiamicrovirus Chp1</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Gokushovirinae; Chlamydiamicrovirus; Chlamydiamicrovirus Chp2</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Gokushovirinae; Chlamydiamicrovirus; Chlamydiamicrovirus CPAR39</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Gokushovirinae; Chlamydiamicrovirus; Chlamydiamicrovirus CPG1</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Gokushovirinae; Enterogokushovirus; Enterogokushovirus EC6098</w:t>
            </w:r>
          </w:p>
          <w:p>
            <w:pPr>
              <w:pStyle w:val="Normal"/>
              <w:widowControl/>
              <w:suppressAutoHyphens w:val="true"/>
              <w:spacing w:before="0" w:after="0"/>
              <w:jc w:val="both"/>
              <w:rPr>
                <w:rFonts w:ascii="aptos" w:hAnsi="aptos"/>
                <w:sz w:val="16"/>
                <w:szCs w:val="16"/>
              </w:rPr>
            </w:pPr>
            <w:r>
              <w:rPr>
                <w:rFonts w:cs="Arial" w:ascii="aptos" w:hAnsi="aptos"/>
                <w:i/>
                <w:iCs/>
                <w:color w:val="C9211E"/>
                <w:kern w:val="0"/>
                <w:sz w:val="16"/>
                <w:szCs w:val="16"/>
                <w:lang w:val="en-US" w:eastAsia="en-US" w:bidi="ar-SA"/>
              </w:rPr>
              <w:t>Malgrandaviricetes; Petitvirales; Microviridae; Gokushovirinae; Spiromicrovirus; Spiromicrovirus SpV4</w:t>
            </w:r>
          </w:p>
          <w:p>
            <w:pPr>
              <w:pStyle w:val="BodyText"/>
              <w:widowControl/>
              <w:suppressAutoHyphens w:val="true"/>
              <w:spacing w:lineRule="auto" w:line="288" w:before="0" w:after="0"/>
              <w:jc w:val="left"/>
              <w:rPr>
                <w:rFonts w:ascii="aptos" w:hAnsi="aptos"/>
                <w:i/>
                <w:i/>
                <w:iCs/>
                <w:sz w:val="16"/>
                <w:szCs w:val="16"/>
                <w:u w:val="single"/>
              </w:rPr>
            </w:pPr>
            <w:r>
              <w:rPr>
                <w:rFonts w:ascii="aptos" w:hAnsi="aptos"/>
                <w:i/>
                <w:iCs/>
                <w:sz w:val="16"/>
                <w:szCs w:val="16"/>
                <w:u w:val="single"/>
              </w:rPr>
            </w:r>
          </w:p>
          <w:p>
            <w:pPr>
              <w:pStyle w:val="BodyText"/>
              <w:widowControl/>
              <w:suppressAutoHyphens w:val="true"/>
              <w:spacing w:lineRule="auto" w:line="288" w:before="0" w:after="0"/>
              <w:jc w:val="left"/>
              <w:rPr>
                <w:rFonts w:ascii="Aptos" w:hAnsi="Aptos"/>
                <w:color w:val="000000"/>
                <w:sz w:val="20"/>
                <w:szCs w:val="20"/>
              </w:rPr>
            </w:pPr>
            <w:r>
              <w:rPr>
                <w:rFonts w:ascii="Aptos" w:hAnsi="Aptos"/>
                <w:i/>
                <w:iCs/>
                <w:color w:val="000000"/>
                <w:kern w:val="0"/>
                <w:sz w:val="20"/>
                <w:szCs w:val="20"/>
                <w:u w:val="single"/>
                <w:lang w:eastAsia="en-US" w:bidi="ar-SA"/>
              </w:rPr>
              <w:t>Proposed taxonomic change(s):</w:t>
            </w:r>
          </w:p>
          <w:p>
            <w:pPr>
              <w:pStyle w:val="BodyText"/>
              <w:widowControl/>
              <w:numPr>
                <w:ilvl w:val="0"/>
                <w:numId w:val="3"/>
              </w:numPr>
              <w:suppressAutoHyphens w:val="true"/>
              <w:spacing w:lineRule="auto" w:line="288" w:before="0" w:after="0"/>
              <w:ind w:hanging="0" w:left="0"/>
              <w:jc w:val="left"/>
              <w:rPr>
                <w:rFonts w:ascii="Aptos" w:hAnsi="Aptos"/>
                <w:color w:val="000000"/>
                <w:sz w:val="20"/>
                <w:szCs w:val="20"/>
                <w:lang w:val="en-US"/>
              </w:rPr>
            </w:pPr>
            <w:r>
              <w:rPr>
                <w:rFonts w:ascii="Aptos" w:hAnsi="Aptos"/>
                <w:color w:themeColor="text1" w:val="000000"/>
                <w:kern w:val="0"/>
                <w:sz w:val="20"/>
                <w:szCs w:val="20"/>
                <w:lang w:val="en-US" w:eastAsia="en-US" w:bidi="ar-SA"/>
              </w:rPr>
              <w:t xml:space="preserve">Abolish species </w:t>
            </w:r>
            <w:r>
              <w:rPr>
                <w:rFonts w:ascii="Aptos" w:hAnsi="Aptos"/>
                <w:i/>
                <w:iCs/>
                <w:color w:themeColor="text1" w:val="000000"/>
                <w:kern w:val="0"/>
                <w:sz w:val="20"/>
                <w:szCs w:val="20"/>
                <w:lang w:val="en-US" w:eastAsia="en-US" w:bidi="ar-SA"/>
              </w:rPr>
              <w:t>Bdellovibrio virus MAC1</w:t>
            </w:r>
            <w:r>
              <w:rPr>
                <w:rFonts w:ascii="Aptos" w:hAnsi="Aptos"/>
                <w:color w:themeColor="text1" w:val="000000"/>
                <w:kern w:val="0"/>
                <w:sz w:val="20"/>
                <w:szCs w:val="20"/>
                <w:lang w:val="en-US" w:eastAsia="en-US" w:bidi="ar-SA"/>
              </w:rPr>
              <w:t xml:space="preserve"> in the genus </w:t>
            </w:r>
            <w:r>
              <w:rPr>
                <w:rFonts w:ascii="Aptos" w:hAnsi="Aptos"/>
                <w:i/>
                <w:iCs/>
                <w:color w:themeColor="text1" w:val="000000"/>
                <w:kern w:val="0"/>
                <w:sz w:val="20"/>
                <w:szCs w:val="20"/>
                <w:lang w:val="en-US" w:eastAsia="en-US" w:bidi="ar-SA"/>
              </w:rPr>
              <w:t xml:space="preserve">Bdellomicrovirus </w:t>
            </w:r>
            <w:r>
              <w:rPr>
                <w:rFonts w:ascii="Aptos" w:hAnsi="Aptos"/>
                <w:color w:themeColor="text1" w:val="000000"/>
                <w:kern w:val="0"/>
                <w:sz w:val="20"/>
                <w:szCs w:val="20"/>
                <w:lang w:val="en-US" w:eastAsia="en-US" w:bidi="ar-SA"/>
              </w:rPr>
              <w:t>as there is no associated sequence associated with this in GenBank.</w:t>
            </w:r>
          </w:p>
          <w:p>
            <w:pPr>
              <w:pStyle w:val="BodyText"/>
              <w:widowControl/>
              <w:numPr>
                <w:ilvl w:val="0"/>
                <w:numId w:val="3"/>
              </w:numPr>
              <w:suppressAutoHyphens w:val="true"/>
              <w:spacing w:lineRule="auto" w:line="288" w:before="0" w:after="0"/>
              <w:ind w:hanging="0" w:left="0"/>
              <w:jc w:val="left"/>
              <w:rPr>
                <w:rFonts w:ascii="Aptos" w:hAnsi="Aptos"/>
                <w:color w:val="000000"/>
                <w:sz w:val="20"/>
                <w:szCs w:val="20"/>
                <w:lang w:val="en-US"/>
              </w:rPr>
            </w:pPr>
            <w:r>
              <w:rPr>
                <w:rFonts w:ascii="Aptos" w:hAnsi="Aptos"/>
                <w:color w:themeColor="text1" w:val="000000"/>
                <w:kern w:val="0"/>
                <w:sz w:val="20"/>
                <w:szCs w:val="20"/>
                <w:lang w:val="en-US" w:eastAsia="en-US" w:bidi="ar-SA"/>
              </w:rPr>
              <w:t xml:space="preserve">Abolish the family </w:t>
            </w:r>
            <w:r>
              <w:rPr>
                <w:rFonts w:ascii="Aptos" w:hAnsi="Aptos"/>
                <w:i/>
                <w:iCs/>
                <w:color w:themeColor="text1" w:val="000000"/>
                <w:kern w:val="0"/>
                <w:sz w:val="20"/>
                <w:szCs w:val="20"/>
                <w:lang w:val="en-US" w:eastAsia="en-US" w:bidi="ar-SA"/>
              </w:rPr>
              <w:t>Microviridae</w:t>
            </w:r>
          </w:p>
          <w:p>
            <w:pPr>
              <w:pStyle w:val="BodyText"/>
              <w:widowControl/>
              <w:numPr>
                <w:ilvl w:val="0"/>
                <w:numId w:val="3"/>
              </w:numPr>
              <w:suppressAutoHyphens w:val="true"/>
              <w:spacing w:lineRule="auto" w:line="288" w:before="0" w:after="0"/>
              <w:ind w:hanging="0" w:left="0"/>
              <w:jc w:val="left"/>
              <w:rPr>
                <w:rFonts w:ascii="Aptos" w:hAnsi="Aptos"/>
                <w:color w:val="000000"/>
                <w:sz w:val="20"/>
                <w:szCs w:val="20"/>
                <w:lang w:val="en-US"/>
              </w:rPr>
            </w:pPr>
            <w:r>
              <w:rPr>
                <w:rFonts w:ascii="Aptos" w:hAnsi="Aptos"/>
                <w:color w:themeColor="text1" w:val="000000"/>
                <w:kern w:val="0"/>
                <w:sz w:val="20"/>
                <w:szCs w:val="20"/>
                <w:lang w:val="en-US" w:eastAsia="en-US" w:bidi="ar-SA"/>
              </w:rPr>
              <w:t xml:space="preserve">Abolish the subfamilies </w:t>
            </w:r>
            <w:r>
              <w:rPr>
                <w:rFonts w:ascii="Aptos" w:hAnsi="Aptos"/>
                <w:i/>
                <w:iCs/>
                <w:color w:themeColor="text1" w:val="000000"/>
                <w:kern w:val="0"/>
                <w:sz w:val="20"/>
                <w:szCs w:val="20"/>
                <w:lang w:val="en-US" w:eastAsia="en-US" w:bidi="ar-SA"/>
              </w:rPr>
              <w:t>Gokushovirinae</w:t>
            </w:r>
            <w:r>
              <w:rPr>
                <w:rFonts w:ascii="Aptos" w:hAnsi="Aptos"/>
                <w:color w:themeColor="text1" w:val="000000"/>
                <w:kern w:val="0"/>
                <w:sz w:val="20"/>
                <w:szCs w:val="20"/>
                <w:lang w:val="en-US" w:eastAsia="en-US" w:bidi="ar-SA"/>
              </w:rPr>
              <w:t xml:space="preserve"> and </w:t>
            </w:r>
            <w:r>
              <w:rPr>
                <w:rFonts w:ascii="Aptos" w:hAnsi="Aptos"/>
                <w:i/>
                <w:iCs/>
                <w:color w:themeColor="text1" w:val="000000"/>
                <w:kern w:val="0"/>
                <w:sz w:val="20"/>
                <w:szCs w:val="20"/>
                <w:lang w:val="en-US" w:eastAsia="en-US" w:bidi="ar-SA"/>
              </w:rPr>
              <w:t>Bullavirinae</w:t>
            </w:r>
          </w:p>
          <w:p>
            <w:pPr>
              <w:pStyle w:val="BodyText"/>
              <w:widowControl/>
              <w:numPr>
                <w:ilvl w:val="0"/>
                <w:numId w:val="3"/>
              </w:numPr>
              <w:suppressAutoHyphens w:val="true"/>
              <w:spacing w:lineRule="auto" w:line="288" w:before="0" w:after="0"/>
              <w:ind w:hanging="0" w:left="0"/>
              <w:jc w:val="left"/>
              <w:rPr>
                <w:rFonts w:ascii="Aptos" w:hAnsi="Aptos"/>
                <w:color w:val="000000"/>
                <w:sz w:val="20"/>
                <w:szCs w:val="20"/>
                <w:lang w:val="en-US"/>
              </w:rPr>
            </w:pPr>
            <w:r>
              <w:rPr>
                <w:rFonts w:ascii="Aptos" w:hAnsi="Aptos"/>
                <w:color w:themeColor="text1" w:val="000000"/>
                <w:kern w:val="0"/>
                <w:sz w:val="20"/>
                <w:szCs w:val="20"/>
                <w:lang w:val="en-US" w:eastAsia="en-US" w:bidi="ar-SA"/>
              </w:rPr>
              <w:t xml:space="preserve">Establish a new class </w:t>
            </w:r>
            <w:r>
              <w:rPr>
                <w:rFonts w:cs="Arial" w:ascii="Aptos" w:hAnsi="Aptos"/>
                <w:color w:themeColor="text1" w:val="000000"/>
                <w:kern w:val="0"/>
                <w:sz w:val="20"/>
                <w:szCs w:val="20"/>
                <w:lang w:val="en-US" w:eastAsia="en-US" w:bidi="ar-SA"/>
              </w:rPr>
              <w:t>“</w:t>
            </w:r>
            <w:r>
              <w:rPr>
                <w:rFonts w:ascii="Aptos" w:hAnsi="Aptos"/>
                <w:i/>
                <w:iCs/>
                <w:color w:themeColor="text1" w:val="000000"/>
                <w:kern w:val="0"/>
                <w:sz w:val="20"/>
                <w:szCs w:val="20"/>
                <w:lang w:val="en-US" w:eastAsia="en-US" w:bidi="ar-SA"/>
              </w:rPr>
              <w:t>Microviricetes</w:t>
            </w:r>
            <w:r>
              <w:rPr>
                <w:rFonts w:cs="Arial" w:ascii="Aptos" w:hAnsi="Aptos"/>
                <w:i/>
                <w:iCs/>
                <w:color w:themeColor="text1" w:val="000000"/>
                <w:kern w:val="0"/>
                <w:sz w:val="20"/>
                <w:szCs w:val="20"/>
                <w:lang w:val="en-US" w:eastAsia="en-US" w:bidi="ar-SA"/>
              </w:rPr>
              <w:t>“</w:t>
            </w:r>
          </w:p>
          <w:p>
            <w:pPr>
              <w:pStyle w:val="BodyText"/>
              <w:widowControl/>
              <w:numPr>
                <w:ilvl w:val="0"/>
                <w:numId w:val="3"/>
              </w:numPr>
              <w:suppressAutoHyphens w:val="true"/>
              <w:spacing w:lineRule="auto" w:line="288" w:before="0" w:after="0"/>
              <w:ind w:hanging="0" w:left="0"/>
              <w:jc w:val="left"/>
              <w:rPr>
                <w:rFonts w:ascii="Aptos" w:hAnsi="Aptos"/>
                <w:color w:val="000000"/>
                <w:sz w:val="20"/>
                <w:szCs w:val="20"/>
                <w:lang w:val="en-US"/>
              </w:rPr>
            </w:pPr>
            <w:r>
              <w:rPr>
                <w:rFonts w:ascii="Aptos" w:hAnsi="Aptos"/>
                <w:color w:themeColor="text1" w:val="000000"/>
                <w:kern w:val="0"/>
                <w:sz w:val="20"/>
                <w:szCs w:val="20"/>
                <w:lang w:val="en-US" w:eastAsia="en-US" w:bidi="ar-SA"/>
              </w:rPr>
              <w:t>Establish seven new orders :</w:t>
            </w:r>
          </w:p>
          <w:p>
            <w:pPr>
              <w:pStyle w:val="BodyText"/>
              <w:widowControl/>
              <w:numPr>
                <w:ilvl w:val="1"/>
                <w:numId w:val="2"/>
              </w:numPr>
              <w:suppressAutoHyphens w:val="true"/>
              <w:spacing w:lineRule="auto" w:line="288" w:before="0" w:after="0"/>
              <w:jc w:val="left"/>
              <w:rPr>
                <w:rFonts w:ascii="Aptos" w:hAnsi="Aptos"/>
                <w:i/>
                <w:i/>
                <w:iCs/>
                <w:color w:val="000000"/>
                <w:sz w:val="20"/>
                <w:szCs w:val="20"/>
                <w:lang w:val="en-US"/>
              </w:rPr>
            </w:pPr>
            <w:r>
              <w:rPr>
                <w:rFonts w:cs="Arial" w:ascii="Aptos" w:hAnsi="Aptos"/>
                <w:i/>
                <w:iCs/>
                <w:color w:themeColor="text1" w:val="000000"/>
                <w:kern w:val="0"/>
                <w:sz w:val="20"/>
                <w:szCs w:val="20"/>
                <w:lang w:val="en-US" w:eastAsia="en-US" w:bidi="ar-SA"/>
              </w:rPr>
              <w:t>“</w:t>
            </w:r>
            <w:r>
              <w:rPr>
                <w:rFonts w:ascii="Aptos" w:hAnsi="Aptos"/>
                <w:i/>
                <w:iCs/>
                <w:color w:themeColor="text1" w:val="000000"/>
                <w:kern w:val="0"/>
                <w:sz w:val="20"/>
                <w:szCs w:val="20"/>
                <w:lang w:val="en-US" w:eastAsia="en-US" w:bidi="ar-SA"/>
              </w:rPr>
              <w:t>Alpavirales</w:t>
            </w:r>
            <w:r>
              <w:rPr>
                <w:rFonts w:cs="Arial" w:ascii="Aptos" w:hAnsi="Aptos"/>
                <w:i/>
                <w:iCs/>
                <w:color w:themeColor="text1" w:val="000000"/>
                <w:kern w:val="0"/>
                <w:sz w:val="20"/>
                <w:szCs w:val="20"/>
                <w:lang w:val="en-US" w:eastAsia="en-US" w:bidi="ar-SA"/>
              </w:rPr>
              <w:t>“</w:t>
            </w:r>
          </w:p>
          <w:p>
            <w:pPr>
              <w:pStyle w:val="BodyText"/>
              <w:widowControl/>
              <w:numPr>
                <w:ilvl w:val="1"/>
                <w:numId w:val="2"/>
              </w:numPr>
              <w:suppressAutoHyphens w:val="true"/>
              <w:spacing w:lineRule="auto" w:line="288" w:before="0" w:after="0"/>
              <w:jc w:val="left"/>
              <w:rPr>
                <w:rFonts w:ascii="Aptos" w:hAnsi="Aptos"/>
                <w:i/>
                <w:i/>
                <w:iCs/>
                <w:color w:val="000000"/>
                <w:sz w:val="20"/>
                <w:szCs w:val="20"/>
                <w:lang w:val="en-US"/>
              </w:rPr>
            </w:pPr>
            <w:r>
              <w:rPr>
                <w:rFonts w:cs="Arial" w:ascii="Aptos" w:hAnsi="Aptos"/>
                <w:i/>
                <w:iCs/>
                <w:color w:themeColor="text1" w:val="000000"/>
                <w:kern w:val="0"/>
                <w:sz w:val="20"/>
                <w:szCs w:val="20"/>
                <w:lang w:val="en-US" w:eastAsia="en-US" w:bidi="ar-SA"/>
              </w:rPr>
              <w:t>“</w:t>
            </w:r>
            <w:r>
              <w:rPr>
                <w:rFonts w:ascii="Aptos" w:hAnsi="Aptos"/>
                <w:i/>
                <w:iCs/>
                <w:color w:themeColor="text1" w:val="000000"/>
                <w:kern w:val="0"/>
                <w:sz w:val="20"/>
                <w:szCs w:val="20"/>
                <w:lang w:val="en-US" w:eastAsia="en-US" w:bidi="ar-SA"/>
              </w:rPr>
              <w:t>Amoyvirales</w:t>
            </w:r>
            <w:r>
              <w:rPr>
                <w:rFonts w:cs="Arial" w:ascii="Aptos" w:hAnsi="Aptos"/>
                <w:i/>
                <w:iCs/>
                <w:color w:themeColor="text1" w:val="000000"/>
                <w:kern w:val="0"/>
                <w:sz w:val="20"/>
                <w:szCs w:val="20"/>
                <w:lang w:val="en-US" w:eastAsia="en-US" w:bidi="ar-SA"/>
              </w:rPr>
              <w:t>“</w:t>
            </w:r>
          </w:p>
          <w:p>
            <w:pPr>
              <w:pStyle w:val="BodyText"/>
              <w:widowControl/>
              <w:numPr>
                <w:ilvl w:val="1"/>
                <w:numId w:val="2"/>
              </w:numPr>
              <w:suppressAutoHyphens w:val="true"/>
              <w:spacing w:lineRule="auto" w:line="288" w:before="0" w:after="0"/>
              <w:jc w:val="left"/>
              <w:rPr>
                <w:rFonts w:ascii="Aptos" w:hAnsi="Aptos"/>
                <w:i/>
                <w:i/>
                <w:iCs/>
                <w:color w:val="000000"/>
                <w:sz w:val="20"/>
                <w:szCs w:val="20"/>
                <w:lang w:val="en-US"/>
              </w:rPr>
            </w:pPr>
            <w:r>
              <w:rPr>
                <w:rFonts w:cs="Arial" w:ascii="Aptos" w:hAnsi="Aptos"/>
                <w:i/>
                <w:iCs/>
                <w:color w:themeColor="text1" w:val="000000"/>
                <w:kern w:val="0"/>
                <w:sz w:val="20"/>
                <w:szCs w:val="20"/>
                <w:lang w:val="en-US" w:eastAsia="en-US" w:bidi="ar-SA"/>
              </w:rPr>
              <w:t>“</w:t>
            </w:r>
            <w:r>
              <w:rPr>
                <w:rFonts w:ascii="Aptos" w:hAnsi="Aptos"/>
                <w:i/>
                <w:iCs/>
                <w:color w:themeColor="text1" w:val="000000"/>
                <w:kern w:val="0"/>
                <w:sz w:val="20"/>
                <w:szCs w:val="20"/>
                <w:lang w:val="en-US" w:eastAsia="en-US" w:bidi="ar-SA"/>
              </w:rPr>
              <w:t>Bullavirales</w:t>
            </w:r>
            <w:r>
              <w:rPr>
                <w:rFonts w:cs="Arial" w:ascii="Aptos" w:hAnsi="Aptos"/>
                <w:i/>
                <w:iCs/>
                <w:color w:themeColor="text1" w:val="000000"/>
                <w:kern w:val="0"/>
                <w:sz w:val="20"/>
                <w:szCs w:val="20"/>
                <w:lang w:val="en-US" w:eastAsia="en-US" w:bidi="ar-SA"/>
              </w:rPr>
              <w:t>“</w:t>
            </w:r>
          </w:p>
          <w:p>
            <w:pPr>
              <w:pStyle w:val="BodyText"/>
              <w:widowControl/>
              <w:numPr>
                <w:ilvl w:val="1"/>
                <w:numId w:val="2"/>
              </w:numPr>
              <w:suppressAutoHyphens w:val="true"/>
              <w:spacing w:lineRule="auto" w:line="288" w:before="0" w:after="0"/>
              <w:jc w:val="left"/>
              <w:rPr>
                <w:rFonts w:ascii="Aptos" w:hAnsi="Aptos"/>
                <w:i/>
                <w:i/>
                <w:iCs/>
                <w:color w:val="000000"/>
                <w:sz w:val="20"/>
                <w:szCs w:val="20"/>
                <w:lang w:val="en-US"/>
              </w:rPr>
            </w:pPr>
            <w:r>
              <w:rPr>
                <w:rFonts w:cs="Arial" w:ascii="Aptos" w:hAnsi="Aptos"/>
                <w:i/>
                <w:iCs/>
                <w:color w:themeColor="text1" w:val="000000"/>
                <w:kern w:val="0"/>
                <w:sz w:val="20"/>
                <w:szCs w:val="20"/>
                <w:lang w:val="en-US" w:eastAsia="en-US" w:bidi="ar-SA"/>
              </w:rPr>
              <w:t>“</w:t>
            </w:r>
            <w:r>
              <w:rPr>
                <w:rFonts w:ascii="Aptos" w:hAnsi="Aptos"/>
                <w:i/>
                <w:iCs/>
                <w:color w:themeColor="text1" w:val="000000"/>
                <w:kern w:val="0"/>
                <w:sz w:val="20"/>
                <w:szCs w:val="20"/>
                <w:lang w:val="en-US" w:eastAsia="en-US" w:bidi="ar-SA"/>
              </w:rPr>
              <w:t>Gokushovirales</w:t>
            </w:r>
            <w:r>
              <w:rPr>
                <w:rFonts w:cs="Arial" w:ascii="Aptos" w:hAnsi="Aptos"/>
                <w:i/>
                <w:iCs/>
                <w:color w:themeColor="text1" w:val="000000"/>
                <w:kern w:val="0"/>
                <w:sz w:val="20"/>
                <w:szCs w:val="20"/>
                <w:lang w:val="en-US" w:eastAsia="en-US" w:bidi="ar-SA"/>
              </w:rPr>
              <w:t>“</w:t>
            </w:r>
          </w:p>
          <w:p>
            <w:pPr>
              <w:pStyle w:val="BodyText"/>
              <w:widowControl/>
              <w:numPr>
                <w:ilvl w:val="1"/>
                <w:numId w:val="2"/>
              </w:numPr>
              <w:suppressAutoHyphens w:val="true"/>
              <w:spacing w:lineRule="auto" w:line="288" w:before="0" w:after="0"/>
              <w:jc w:val="left"/>
              <w:rPr>
                <w:rFonts w:ascii="Aptos" w:hAnsi="Aptos"/>
                <w:i/>
                <w:i/>
                <w:iCs/>
                <w:color w:val="000000"/>
                <w:sz w:val="20"/>
                <w:szCs w:val="20"/>
                <w:lang w:val="en-US"/>
              </w:rPr>
            </w:pPr>
            <w:r>
              <w:rPr>
                <w:rFonts w:cs="Arial" w:ascii="Aptos" w:hAnsi="Aptos"/>
                <w:i/>
                <w:iCs/>
                <w:color w:themeColor="text1" w:val="000000"/>
                <w:kern w:val="0"/>
                <w:sz w:val="20"/>
                <w:szCs w:val="20"/>
                <w:lang w:val="en-US" w:eastAsia="en-US" w:bidi="ar-SA"/>
              </w:rPr>
              <w:t>“</w:t>
            </w:r>
            <w:r>
              <w:rPr>
                <w:rFonts w:ascii="Aptos" w:hAnsi="Aptos"/>
                <w:i/>
                <w:iCs/>
                <w:color w:themeColor="text1" w:val="000000"/>
                <w:kern w:val="0"/>
                <w:sz w:val="20"/>
                <w:szCs w:val="20"/>
                <w:lang w:val="en-US" w:eastAsia="en-US" w:bidi="ar-SA"/>
              </w:rPr>
              <w:t>Reekeekeevirales</w:t>
            </w:r>
            <w:r>
              <w:rPr>
                <w:rFonts w:cs="Arial" w:ascii="Aptos" w:hAnsi="Aptos"/>
                <w:i/>
                <w:iCs/>
                <w:color w:themeColor="text1" w:val="000000"/>
                <w:kern w:val="0"/>
                <w:sz w:val="20"/>
                <w:szCs w:val="20"/>
                <w:lang w:val="en-US" w:eastAsia="en-US" w:bidi="ar-SA"/>
              </w:rPr>
              <w:t>“</w:t>
            </w:r>
          </w:p>
          <w:p>
            <w:pPr>
              <w:pStyle w:val="BodyText"/>
              <w:widowControl/>
              <w:numPr>
                <w:ilvl w:val="1"/>
                <w:numId w:val="2"/>
              </w:numPr>
              <w:suppressAutoHyphens w:val="true"/>
              <w:spacing w:lineRule="auto" w:line="288" w:before="0" w:after="0"/>
              <w:jc w:val="left"/>
              <w:rPr>
                <w:rFonts w:ascii="Aptos" w:hAnsi="Aptos"/>
                <w:i/>
                <w:i/>
                <w:iCs/>
                <w:color w:val="000000"/>
                <w:sz w:val="20"/>
                <w:szCs w:val="20"/>
                <w:lang w:val="en-US"/>
              </w:rPr>
            </w:pPr>
            <w:r>
              <w:rPr>
                <w:rFonts w:cs="Arial" w:ascii="Aptos" w:hAnsi="Aptos"/>
                <w:i/>
                <w:iCs/>
                <w:color w:themeColor="text1" w:val="000000"/>
                <w:kern w:val="0"/>
                <w:sz w:val="20"/>
                <w:szCs w:val="20"/>
                <w:lang w:val="en-US" w:eastAsia="en-US" w:bidi="ar-SA"/>
              </w:rPr>
              <w:t>“</w:t>
            </w:r>
            <w:r>
              <w:rPr>
                <w:rFonts w:ascii="Aptos" w:hAnsi="Aptos"/>
                <w:i/>
                <w:iCs/>
                <w:color w:themeColor="text1" w:val="000000"/>
                <w:kern w:val="0"/>
                <w:sz w:val="20"/>
                <w:szCs w:val="20"/>
                <w:lang w:val="en-US" w:eastAsia="en-US" w:bidi="ar-SA"/>
              </w:rPr>
              <w:t>Roodoodoovirales</w:t>
            </w:r>
            <w:r>
              <w:rPr>
                <w:rFonts w:cs="Arial" w:ascii="Aptos" w:hAnsi="Aptos"/>
                <w:i/>
                <w:iCs/>
                <w:color w:themeColor="text1" w:val="000000"/>
                <w:kern w:val="0"/>
                <w:sz w:val="20"/>
                <w:szCs w:val="20"/>
                <w:lang w:val="en-US" w:eastAsia="en-US" w:bidi="ar-SA"/>
              </w:rPr>
              <w:t>“</w:t>
            </w:r>
          </w:p>
          <w:p>
            <w:pPr>
              <w:pStyle w:val="BodyText"/>
              <w:widowControl/>
              <w:numPr>
                <w:ilvl w:val="1"/>
                <w:numId w:val="2"/>
              </w:numPr>
              <w:suppressAutoHyphens w:val="true"/>
              <w:spacing w:lineRule="auto" w:line="288" w:before="0" w:after="0"/>
              <w:jc w:val="left"/>
              <w:rPr>
                <w:rFonts w:ascii="Aptos" w:hAnsi="Aptos"/>
                <w:i/>
                <w:i/>
                <w:iCs/>
                <w:color w:val="000000"/>
                <w:sz w:val="20"/>
                <w:szCs w:val="20"/>
                <w:lang w:val="en-US"/>
              </w:rPr>
            </w:pPr>
            <w:r>
              <w:rPr>
                <w:rFonts w:cs="Arial" w:ascii="Aptos" w:hAnsi="Aptos"/>
                <w:i/>
                <w:iCs/>
                <w:color w:themeColor="text1" w:val="000000"/>
                <w:kern w:val="0"/>
                <w:sz w:val="20"/>
                <w:szCs w:val="20"/>
                <w:lang w:val="en-US" w:eastAsia="en-US" w:bidi="ar-SA"/>
              </w:rPr>
              <w:t>“</w:t>
            </w:r>
            <w:r>
              <w:rPr>
                <w:rFonts w:ascii="Aptos" w:hAnsi="Aptos"/>
                <w:i/>
                <w:iCs/>
                <w:color w:themeColor="text1" w:val="000000"/>
                <w:kern w:val="0"/>
                <w:sz w:val="20"/>
                <w:szCs w:val="20"/>
                <w:lang w:val="en-US" w:eastAsia="en-US" w:bidi="ar-SA"/>
              </w:rPr>
              <w:t>Secretvirales</w:t>
            </w:r>
            <w:r>
              <w:rPr>
                <w:rFonts w:cs="Arial" w:ascii="Aptos" w:hAnsi="Aptos"/>
                <w:i/>
                <w:iCs/>
                <w:color w:themeColor="text1" w:val="000000"/>
                <w:kern w:val="0"/>
                <w:sz w:val="20"/>
                <w:szCs w:val="20"/>
                <w:lang w:val="en-US" w:eastAsia="en-US" w:bidi="ar-SA"/>
              </w:rPr>
              <w:t>“</w:t>
            </w:r>
          </w:p>
          <w:p>
            <w:pPr>
              <w:pStyle w:val="BodyText"/>
              <w:widowControl/>
              <w:suppressAutoHyphens w:val="true"/>
              <w:spacing w:lineRule="auto" w:line="288" w:before="0" w:after="0"/>
              <w:jc w:val="left"/>
              <w:rPr>
                <w:kern w:val="0"/>
                <w:sz w:val="24"/>
                <w:szCs w:val="24"/>
                <w:lang w:eastAsia="en-US" w:bidi="ar-SA"/>
              </w:rPr>
            </w:pPr>
            <w:r>
              <w:rPr>
                <w:kern w:val="0"/>
                <w:sz w:val="24"/>
                <w:szCs w:val="24"/>
                <w:lang w:eastAsia="en-US" w:bidi="ar-SA"/>
              </w:rPr>
            </w:r>
          </w:p>
          <w:p>
            <w:pPr>
              <w:pStyle w:val="BodyText"/>
              <w:widowControl/>
              <w:suppressAutoHyphens w:val="true"/>
              <w:spacing w:lineRule="auto" w:line="288" w:before="0" w:after="0"/>
              <w:jc w:val="left"/>
              <w:rPr>
                <w:rFonts w:ascii="Aptos" w:hAnsi="Aptos"/>
                <w:color w:val="000000"/>
                <w:sz w:val="20"/>
                <w:szCs w:val="20"/>
                <w:lang w:val="en-US"/>
              </w:rPr>
            </w:pPr>
            <w:r>
              <w:rPr>
                <w:rFonts w:ascii="Aptos" w:hAnsi="Aptos"/>
                <w:color w:themeColor="text1" w:val="000000"/>
                <w:kern w:val="0"/>
                <w:sz w:val="20"/>
                <w:szCs w:val="20"/>
                <w:lang w:val="en-US" w:eastAsia="en-US" w:bidi="ar-SA"/>
              </w:rPr>
              <w:t xml:space="preserve">A summary of the new taxonomy in the class </w:t>
            </w:r>
            <w:r>
              <w:rPr>
                <w:rFonts w:cs="Arial" w:ascii="Aptos" w:hAnsi="Aptos"/>
                <w:color w:themeColor="text1" w:val="000000"/>
                <w:kern w:val="0"/>
                <w:sz w:val="20"/>
                <w:szCs w:val="20"/>
                <w:lang w:val="en-US" w:eastAsia="en-US" w:bidi="ar-SA"/>
              </w:rPr>
              <w:t>“</w:t>
            </w:r>
            <w:r>
              <w:rPr>
                <w:rFonts w:ascii="Aptos" w:hAnsi="Aptos"/>
                <w:i/>
                <w:iCs/>
                <w:color w:themeColor="text1" w:val="000000"/>
                <w:kern w:val="0"/>
                <w:sz w:val="20"/>
                <w:szCs w:val="20"/>
                <w:lang w:val="en-US" w:eastAsia="en-US" w:bidi="ar-SA"/>
              </w:rPr>
              <w:t>Microviricetes</w:t>
            </w:r>
            <w:r>
              <w:rPr>
                <w:rFonts w:cs="Arial" w:ascii="Aptos" w:hAnsi="Aptos"/>
                <w:i/>
                <w:iCs/>
                <w:color w:themeColor="text1" w:val="000000"/>
                <w:kern w:val="0"/>
                <w:sz w:val="20"/>
                <w:szCs w:val="20"/>
                <w:lang w:val="en-US" w:eastAsia="en-US" w:bidi="ar-SA"/>
              </w:rPr>
              <w:t>“</w:t>
            </w:r>
            <w:r>
              <w:rPr>
                <w:rFonts w:ascii="Aptos" w:hAnsi="Aptos"/>
                <w:color w:themeColor="text1" w:val="000000"/>
                <w:kern w:val="0"/>
                <w:sz w:val="20"/>
                <w:szCs w:val="20"/>
                <w:lang w:val="en-US" w:eastAsia="en-US" w:bidi="ar-SA"/>
              </w:rPr>
              <w:t xml:space="preserve"> is provided in table 1</w:t>
            </w:r>
          </w:p>
          <w:p>
            <w:pPr>
              <w:pStyle w:val="BodyText"/>
              <w:widowControl/>
              <w:suppressAutoHyphens w:val="true"/>
              <w:spacing w:before="0" w:after="140"/>
              <w:jc w:val="left"/>
              <w:rPr>
                <w:rFonts w:ascii="Aptos" w:hAnsi="Aptos"/>
                <w:color w:val="000000"/>
                <w:sz w:val="12"/>
                <w:szCs w:val="12"/>
              </w:rPr>
            </w:pPr>
            <w:r>
              <w:rPr>
                <w:rFonts w:ascii="Aptos" w:hAnsi="Aptos"/>
                <w:color w:val="000000"/>
                <w:sz w:val="12"/>
                <w:szCs w:val="12"/>
              </w:rPr>
            </w:r>
          </w:p>
          <w:p>
            <w:pPr>
              <w:pStyle w:val="BodyText"/>
              <w:widowControl/>
              <w:suppressAutoHyphens w:val="true"/>
              <w:spacing w:lineRule="auto" w:line="288" w:before="0" w:after="0"/>
              <w:jc w:val="both"/>
              <w:rPr>
                <w:rFonts w:ascii="Aptos" w:hAnsi="Aptos"/>
                <w:i/>
                <w:i/>
                <w:color w:val="000000"/>
                <w:sz w:val="20"/>
                <w:szCs w:val="20"/>
                <w:u w:val="single"/>
              </w:rPr>
            </w:pPr>
            <w:bookmarkStart w:id="4" w:name="docs-internal-guid-fd4e9486-7fff-608b-fe"/>
            <w:bookmarkEnd w:id="4"/>
            <w:r>
              <w:rPr>
                <w:rFonts w:ascii="Aptos" w:hAnsi="Aptos"/>
                <w:i/>
                <w:color w:val="000000"/>
                <w:kern w:val="0"/>
                <w:sz w:val="20"/>
                <w:szCs w:val="20"/>
                <w:u w:val="single"/>
                <w:lang w:eastAsia="en-US" w:bidi="ar-SA"/>
              </w:rPr>
              <w:t>Demarcation criteria:</w:t>
            </w:r>
          </w:p>
          <w:p>
            <w:pPr>
              <w:pStyle w:val="BodyText"/>
              <w:widowControl/>
              <w:suppressAutoHyphens w:val="true"/>
              <w:spacing w:lineRule="auto" w:line="288" w:before="0" w:after="0"/>
              <w:jc w:val="both"/>
              <w:rPr>
                <w:rFonts w:ascii="Aptos" w:hAnsi="Aptos"/>
                <w:color w:val="000000"/>
                <w:sz w:val="20"/>
                <w:szCs w:val="20"/>
                <w:u w:val="single"/>
              </w:rPr>
            </w:pPr>
            <w:r>
              <w:rPr>
                <w:rFonts w:ascii="Aptos" w:hAnsi="Aptos"/>
                <w:color w:val="000000"/>
                <w:kern w:val="0"/>
                <w:sz w:val="20"/>
                <w:szCs w:val="20"/>
                <w:u w:val="single"/>
                <w:lang w:eastAsia="en-US" w:bidi="ar-SA"/>
              </w:rPr>
              <w:t>Species and genus demarcation criteria</w:t>
            </w:r>
          </w:p>
          <w:p>
            <w:pPr>
              <w:pStyle w:val="BodyText"/>
              <w:widowControl/>
              <w:suppressAutoHyphens w:val="true"/>
              <w:spacing w:lineRule="auto" w:line="288" w:before="0" w:after="0"/>
              <w:jc w:val="both"/>
              <w:rPr>
                <w:rFonts w:ascii="Aptos" w:hAnsi="Aptos"/>
                <w:color w:val="000000"/>
                <w:sz w:val="20"/>
                <w:szCs w:val="20"/>
              </w:rPr>
            </w:pPr>
            <w:r>
              <w:rPr>
                <w:rFonts w:ascii="Aptos" w:hAnsi="Aptos"/>
                <w:color w:val="000000"/>
                <w:kern w:val="0"/>
                <w:sz w:val="20"/>
                <w:szCs w:val="20"/>
                <w:lang w:eastAsia="en-US" w:bidi="ar-SA"/>
              </w:rPr>
              <w:t xml:space="preserve">No established species and genus demarcation criteria were previously defined. Thus, here we used thresholds for the VIRIDIC intergenomic scores of 80 and 50 for species and genus demarcations, respectively (Moraru </w:t>
            </w:r>
            <w:r>
              <w:rPr>
                <w:rFonts w:ascii="Aptos" w:hAnsi="Aptos"/>
                <w:i/>
                <w:iCs/>
                <w:color w:val="000000"/>
                <w:kern w:val="0"/>
                <w:sz w:val="20"/>
                <w:szCs w:val="20"/>
                <w:lang w:eastAsia="en-US" w:bidi="ar-SA"/>
              </w:rPr>
              <w:t>et al.</w:t>
            </w:r>
            <w:r>
              <w:rPr>
                <w:rFonts w:ascii="Aptos" w:hAnsi="Aptos"/>
                <w:color w:val="000000"/>
                <w:kern w:val="0"/>
                <w:sz w:val="20"/>
                <w:szCs w:val="20"/>
                <w:lang w:eastAsia="en-US" w:bidi="ar-SA"/>
              </w:rPr>
              <w:t xml:space="preserve"> 2020). Considering the 158 genomes (from 21 previously classified viruses + 137 new viruses), a total of 131 species and 115 genera were proposed and named.</w:t>
            </w:r>
          </w:p>
          <w:p>
            <w:pPr>
              <w:pStyle w:val="BodyText"/>
              <w:widowControl/>
              <w:suppressAutoHyphens w:val="true"/>
              <w:spacing w:lineRule="auto" w:line="288" w:before="0" w:after="0"/>
              <w:jc w:val="both"/>
              <w:rPr>
                <w:rFonts w:ascii="Aptos" w:hAnsi="Aptos"/>
                <w:color w:val="000000"/>
                <w:sz w:val="20"/>
                <w:szCs w:val="20"/>
              </w:rPr>
            </w:pPr>
            <w:r>
              <w:rPr>
                <w:rFonts w:ascii="Aptos" w:hAnsi="Aptos"/>
                <w:color w:val="000000"/>
                <w:sz w:val="20"/>
                <w:szCs w:val="20"/>
              </w:rPr>
            </w:r>
          </w:p>
          <w:p>
            <w:pPr>
              <w:pStyle w:val="BodyText"/>
              <w:widowControl/>
              <w:suppressAutoHyphens w:val="true"/>
              <w:spacing w:lineRule="auto" w:line="288" w:before="0" w:after="0"/>
              <w:jc w:val="both"/>
              <w:rPr>
                <w:rFonts w:ascii="Aptos" w:hAnsi="Aptos"/>
                <w:color w:val="000000"/>
                <w:sz w:val="20"/>
                <w:szCs w:val="20"/>
              </w:rPr>
            </w:pPr>
            <w:r>
              <w:rPr>
                <w:rFonts w:ascii="Aptos" w:hAnsi="Aptos"/>
                <w:i/>
                <w:iCs/>
                <w:color w:val="000000"/>
                <w:kern w:val="0"/>
                <w:sz w:val="20"/>
                <w:szCs w:val="20"/>
                <w:u w:val="single"/>
                <w:lang w:eastAsia="en-US" w:bidi="ar-SA"/>
              </w:rPr>
              <w:t>Justification</w:t>
            </w:r>
          </w:p>
          <w:p>
            <w:pPr>
              <w:pStyle w:val="BodyText"/>
              <w:widowControl/>
              <w:suppressAutoHyphens w:val="true"/>
              <w:spacing w:lineRule="auto" w:line="288" w:before="0" w:after="0"/>
              <w:jc w:val="both"/>
              <w:rPr>
                <w:rFonts w:ascii="Aptos" w:hAnsi="Aptos"/>
                <w:color w:val="000000"/>
                <w:sz w:val="20"/>
                <w:szCs w:val="20"/>
                <w:lang w:val="en-US"/>
              </w:rPr>
            </w:pPr>
            <w:bookmarkStart w:id="5" w:name="docs-internal-guid-14534490-7fff-39c4-13"/>
            <w:bookmarkEnd w:id="5"/>
            <w:r>
              <w:rPr>
                <w:rFonts w:ascii="Aptos" w:hAnsi="Aptos"/>
                <w:b/>
                <w:bCs/>
                <w:color w:themeColor="text1" w:val="000000"/>
                <w:kern w:val="0"/>
                <w:sz w:val="20"/>
                <w:szCs w:val="20"/>
                <w:u w:val="single"/>
                <w:lang w:val="en-US" w:eastAsia="en-US" w:bidi="ar-SA"/>
              </w:rPr>
              <w:t xml:space="preserve">Elevation of family </w:t>
            </w:r>
            <w:r>
              <w:rPr>
                <w:rFonts w:ascii="Aptos" w:hAnsi="Aptos"/>
                <w:b/>
                <w:bCs/>
                <w:i/>
                <w:iCs/>
                <w:color w:themeColor="text1" w:val="000000"/>
                <w:kern w:val="0"/>
                <w:sz w:val="20"/>
                <w:szCs w:val="20"/>
                <w:u w:val="single"/>
                <w:lang w:val="en-US" w:eastAsia="en-US" w:bidi="ar-SA"/>
              </w:rPr>
              <w:t xml:space="preserve">Microviridae </w:t>
            </w:r>
            <w:r>
              <w:rPr>
                <w:rFonts w:ascii="Aptos" w:hAnsi="Aptos"/>
                <w:b/>
                <w:bCs/>
                <w:color w:themeColor="text1" w:val="000000"/>
                <w:kern w:val="0"/>
                <w:sz w:val="20"/>
                <w:szCs w:val="20"/>
                <w:u w:val="single"/>
                <w:lang w:val="en-US" w:eastAsia="en-US" w:bidi="ar-SA"/>
              </w:rPr>
              <w:t>to class “</w:t>
            </w:r>
            <w:r>
              <w:rPr>
                <w:rFonts w:ascii="Aptos" w:hAnsi="Aptos"/>
                <w:b/>
                <w:bCs/>
                <w:i/>
                <w:iCs/>
                <w:color w:themeColor="text1" w:val="000000"/>
                <w:kern w:val="0"/>
                <w:sz w:val="20"/>
                <w:szCs w:val="20"/>
                <w:u w:val="single"/>
                <w:lang w:val="en-US" w:eastAsia="en-US" w:bidi="ar-SA"/>
              </w:rPr>
              <w:t>Microviricetes</w:t>
            </w:r>
            <w:r>
              <w:rPr>
                <w:rFonts w:ascii="Aptos" w:hAnsi="Aptos"/>
                <w:color w:themeColor="text1" w:val="000000"/>
                <w:kern w:val="0"/>
                <w:sz w:val="20"/>
                <w:szCs w:val="20"/>
                <w:u w:val="single"/>
                <w:lang w:val="en-US" w:eastAsia="en-US" w:bidi="ar-SA"/>
              </w:rPr>
              <w:t>”</w:t>
            </w:r>
            <w:r>
              <w:rPr>
                <w:rFonts w:ascii="Aptos" w:hAnsi="Aptos"/>
                <w:b/>
                <w:bCs/>
                <w:color w:themeColor="text1" w:val="000000"/>
                <w:kern w:val="0"/>
                <w:sz w:val="20"/>
                <w:szCs w:val="20"/>
                <w:u w:val="single"/>
                <w:lang w:val="en-US" w:eastAsia="en-US" w:bidi="ar-SA"/>
              </w:rPr>
              <w:t>, with seven orders and 21 families</w:t>
            </w:r>
          </w:p>
          <w:p>
            <w:pPr>
              <w:pStyle w:val="BodyText"/>
              <w:widowControl/>
              <w:suppressAutoHyphens w:val="true"/>
              <w:spacing w:lineRule="auto" w:line="288" w:before="0" w:after="0"/>
              <w:jc w:val="both"/>
              <w:rPr>
                <w:rFonts w:ascii="Aptos" w:hAnsi="Aptos"/>
                <w:color w:val="000000"/>
                <w:sz w:val="20"/>
                <w:szCs w:val="20"/>
                <w:lang w:val="en-US"/>
              </w:rPr>
            </w:pPr>
            <w:r>
              <w:rPr>
                <w:rFonts w:ascii="Aptos" w:hAnsi="Aptos"/>
                <w:i/>
                <w:iCs/>
                <w:color w:themeColor="text1" w:val="000000"/>
                <w:kern w:val="0"/>
                <w:sz w:val="20"/>
                <w:szCs w:val="20"/>
                <w:lang w:val="en-US" w:eastAsia="en-US" w:bidi="ar-SA"/>
              </w:rPr>
              <w:t>Microviridae</w:t>
            </w:r>
            <w:r>
              <w:rPr>
                <w:rFonts w:ascii="Aptos" w:hAnsi="Aptos"/>
                <w:color w:themeColor="text1" w:val="000000"/>
                <w:kern w:val="0"/>
                <w:sz w:val="20"/>
                <w:szCs w:val="20"/>
                <w:lang w:val="en-US" w:eastAsia="en-US" w:bidi="ar-SA"/>
              </w:rPr>
              <w:t xml:space="preserve"> is an iconic virus family which includes bacteriophages with single-stranded DNA (ssDNA) genomes and small icosahedral capsids. The best known representative of the family is </w:t>
            </w:r>
            <w:r>
              <w:rPr>
                <w:rFonts w:ascii="Aptos" w:hAnsi="Aptos"/>
                <w:i/>
                <w:iCs/>
                <w:color w:themeColor="text1" w:val="000000"/>
                <w:kern w:val="0"/>
                <w:sz w:val="20"/>
                <w:szCs w:val="20"/>
                <w:lang w:val="en-US" w:eastAsia="en-US" w:bidi="ar-SA"/>
              </w:rPr>
              <w:t>Escherichia coli</w:t>
            </w:r>
            <w:r>
              <w:rPr>
                <w:rFonts w:ascii="Aptos" w:hAnsi="Aptos"/>
                <w:color w:themeColor="text1" w:val="000000"/>
                <w:kern w:val="0"/>
                <w:sz w:val="20"/>
                <w:szCs w:val="20"/>
                <w:lang w:val="en-US" w:eastAsia="en-US" w:bidi="ar-SA"/>
              </w:rPr>
              <w:t xml:space="preserve"> bacteriophage phiX174, whose genome was the first DNA-based genome to be sequenced. Currently, the family includes 22 species, which are distributed into 7 genera, within 2 subfamilies. However, during the past 10 years, thousands of complete genomes of microviruses have been sequenced, primarily using metagenomics approaches. This vastly expanded diversity of microviruses is associated with a wide range of bacterial hosts, spanning multiple phyla, highlighting their diversity, likely ancient origin and importance across ecosystems. However, all of these viruses remain unclassified.</w:t>
            </w:r>
          </w:p>
          <w:p>
            <w:pPr>
              <w:pStyle w:val="BodyText"/>
              <w:widowControl/>
              <w:suppressAutoHyphens w:val="true"/>
              <w:spacing w:lineRule="auto" w:line="288" w:before="0" w:after="0"/>
              <w:jc w:val="both"/>
              <w:rPr>
                <w:rFonts w:ascii="Aptos" w:hAnsi="Aptos"/>
                <w:color w:val="000000"/>
                <w:sz w:val="20"/>
                <w:szCs w:val="20"/>
                <w:lang w:val="en-US"/>
              </w:rPr>
            </w:pPr>
            <w:r>
              <w:rPr>
                <w:rFonts w:ascii="Aptos" w:hAnsi="Aptos"/>
                <w:color w:themeColor="text1" w:val="000000"/>
                <w:kern w:val="0"/>
                <w:sz w:val="20"/>
                <w:szCs w:val="20"/>
                <w:lang w:val="en-US" w:eastAsia="en-US" w:bidi="ar-SA"/>
              </w:rPr>
              <w:t xml:space="preserve">Comparison of the genome and protein sequences of microviruses showed that the single family </w:t>
            </w:r>
            <w:r>
              <w:rPr>
                <w:rFonts w:ascii="Aptos" w:hAnsi="Aptos"/>
                <w:i/>
                <w:iCs/>
                <w:color w:themeColor="text1" w:val="000000"/>
                <w:kern w:val="0"/>
                <w:sz w:val="20"/>
                <w:szCs w:val="20"/>
                <w:lang w:val="en-US" w:eastAsia="en-US" w:bidi="ar-SA"/>
              </w:rPr>
              <w:t xml:space="preserve">Microviridae </w:t>
            </w:r>
            <w:r>
              <w:rPr>
                <w:rFonts w:ascii="Aptos" w:hAnsi="Aptos"/>
                <w:color w:themeColor="text1" w:val="000000"/>
                <w:kern w:val="0"/>
                <w:sz w:val="20"/>
                <w:szCs w:val="20"/>
                <w:lang w:val="en-US" w:eastAsia="en-US" w:bidi="ar-SA"/>
              </w:rPr>
              <w:t xml:space="preserve">is insufficient to adequately reflect the evolutionary relationships among microviruses (Roux et al. 2012; Wang et al. 2019; Kirchberger </w:t>
            </w:r>
            <w:r>
              <w:rPr>
                <w:rFonts w:ascii="Aptos" w:hAnsi="Aptos"/>
                <w:i/>
                <w:iCs/>
                <w:color w:themeColor="text1" w:val="000000"/>
                <w:kern w:val="0"/>
                <w:sz w:val="20"/>
                <w:szCs w:val="20"/>
                <w:lang w:val="en-US" w:eastAsia="en-US" w:bidi="ar-SA"/>
              </w:rPr>
              <w:t>et al.</w:t>
            </w:r>
            <w:r>
              <w:rPr>
                <w:rFonts w:ascii="Aptos" w:hAnsi="Aptos"/>
                <w:color w:themeColor="text1" w:val="000000"/>
                <w:kern w:val="0"/>
                <w:sz w:val="20"/>
                <w:szCs w:val="20"/>
                <w:lang w:val="en-US" w:eastAsia="en-US" w:bidi="ar-SA"/>
              </w:rPr>
              <w:t xml:space="preserve"> 2022). Thus, we propose here the reorganization and elevation of the current family </w:t>
            </w:r>
            <w:r>
              <w:rPr>
                <w:rFonts w:ascii="Aptos" w:hAnsi="Aptos"/>
                <w:i/>
                <w:iCs/>
                <w:color w:themeColor="text1" w:val="000000"/>
                <w:kern w:val="0"/>
                <w:sz w:val="20"/>
                <w:szCs w:val="20"/>
                <w:lang w:val="en-US" w:eastAsia="en-US" w:bidi="ar-SA"/>
              </w:rPr>
              <w:t>Microviridae</w:t>
            </w:r>
            <w:r>
              <w:rPr>
                <w:rFonts w:ascii="Aptos" w:hAnsi="Aptos"/>
                <w:color w:themeColor="text1" w:val="000000"/>
                <w:kern w:val="0"/>
                <w:sz w:val="20"/>
                <w:szCs w:val="20"/>
                <w:lang w:val="en-US" w:eastAsia="en-US" w:bidi="ar-SA"/>
              </w:rPr>
              <w:t xml:space="preserve"> to the rank of a class, which we propose naming “</w:t>
            </w:r>
            <w:r>
              <w:rPr>
                <w:rFonts w:ascii="Aptos" w:hAnsi="Aptos"/>
                <w:i/>
                <w:iCs/>
                <w:color w:themeColor="text1" w:val="000000"/>
                <w:kern w:val="0"/>
                <w:sz w:val="20"/>
                <w:szCs w:val="20"/>
                <w:lang w:val="en-US" w:eastAsia="en-US" w:bidi="ar-SA"/>
              </w:rPr>
              <w:t>Microviricetes</w:t>
            </w:r>
            <w:r>
              <w:rPr>
                <w:rFonts w:ascii="Aptos" w:hAnsi="Aptos"/>
                <w:color w:themeColor="text1" w:val="000000"/>
                <w:kern w:val="0"/>
                <w:sz w:val="20"/>
                <w:szCs w:val="20"/>
                <w:lang w:val="en-US" w:eastAsia="en-US" w:bidi="ar-SA"/>
              </w:rPr>
              <w:t xml:space="preserve">”, within the phylum </w:t>
            </w:r>
            <w:r>
              <w:rPr>
                <w:rFonts w:ascii="Aptos" w:hAnsi="Aptos"/>
                <w:i/>
                <w:iCs/>
                <w:color w:themeColor="text1" w:val="000000"/>
                <w:kern w:val="0"/>
                <w:sz w:val="20"/>
                <w:szCs w:val="20"/>
                <w:lang w:val="en-US" w:eastAsia="en-US" w:bidi="ar-SA"/>
              </w:rPr>
              <w:t>Phixviricota</w:t>
            </w:r>
            <w:r>
              <w:rPr>
                <w:rFonts w:ascii="Aptos" w:hAnsi="Aptos"/>
                <w:color w:themeColor="text1" w:val="000000"/>
                <w:kern w:val="0"/>
                <w:sz w:val="20"/>
                <w:szCs w:val="20"/>
                <w:lang w:val="en-US" w:eastAsia="en-US" w:bidi="ar-SA"/>
              </w:rPr>
              <w:t xml:space="preserve"> and kingdom </w:t>
            </w:r>
            <w:r>
              <w:rPr>
                <w:rFonts w:ascii="Aptos" w:hAnsi="Aptos"/>
                <w:i/>
                <w:iCs/>
                <w:color w:themeColor="text1" w:val="000000"/>
                <w:kern w:val="0"/>
                <w:sz w:val="20"/>
                <w:szCs w:val="20"/>
                <w:lang w:val="en-US" w:eastAsia="en-US" w:bidi="ar-SA"/>
              </w:rPr>
              <w:t>Sangervirae</w:t>
            </w:r>
            <w:r>
              <w:rPr>
                <w:rFonts w:ascii="Aptos" w:hAnsi="Aptos"/>
                <w:color w:themeColor="text1" w:val="000000"/>
                <w:kern w:val="0"/>
                <w:sz w:val="20"/>
                <w:szCs w:val="20"/>
                <w:lang w:val="en-US" w:eastAsia="en-US" w:bidi="ar-SA"/>
              </w:rPr>
              <w:t>.</w:t>
            </w:r>
          </w:p>
          <w:p>
            <w:pPr>
              <w:pStyle w:val="BodyText"/>
              <w:widowControl/>
              <w:suppressAutoHyphens w:val="true"/>
              <w:spacing w:before="0" w:after="140"/>
              <w:jc w:val="left"/>
              <w:rPr>
                <w:rFonts w:ascii="Aptos" w:hAnsi="Aptos"/>
                <w:color w:val="000000"/>
                <w:sz w:val="12"/>
                <w:szCs w:val="12"/>
              </w:rPr>
            </w:pPr>
            <w:r>
              <w:rPr>
                <w:rFonts w:ascii="Aptos" w:hAnsi="Aptos"/>
                <w:color w:val="000000"/>
                <w:sz w:val="12"/>
                <w:szCs w:val="12"/>
              </w:rPr>
            </w:r>
          </w:p>
          <w:p>
            <w:pPr>
              <w:pStyle w:val="BodyText"/>
              <w:widowControl/>
              <w:suppressAutoHyphens w:val="true"/>
              <w:spacing w:lineRule="auto" w:line="288" w:before="0" w:after="0"/>
              <w:jc w:val="both"/>
              <w:rPr>
                <w:rFonts w:ascii="Aptos" w:hAnsi="Aptos"/>
                <w:color w:val="000000"/>
                <w:sz w:val="20"/>
                <w:szCs w:val="20"/>
                <w:lang w:val="en-US"/>
              </w:rPr>
            </w:pPr>
            <w:r>
              <w:rPr>
                <w:rFonts w:ascii="Aptos" w:hAnsi="Aptos"/>
                <w:color w:themeColor="text1" w:val="000000"/>
                <w:kern w:val="0"/>
                <w:sz w:val="20"/>
                <w:szCs w:val="20"/>
                <w:lang w:val="en-US" w:eastAsia="en-US" w:bidi="ar-SA"/>
              </w:rPr>
              <w:t>To establish a new taxonomic framework for the classification of microviruses, genomes of microviruses were identified in GenBank and retained if associated with a publication. Recent isolates were also retrieved. The final dataset consisted of 158 genomes, including 137 new complete microvirus genomes (circular and encoding the characteristic capsid and replication proteins) and 21 genomes of already classified microviruses. The two proteins conserved in all microviruses, namely, major capsid protein (MCP) and replication-initiation protein (Rep), were considered as markers for establishing the taxonomic framework. Even though preliminary tests revealed the overall congruency between phylogenies of the two core proteins, cases of potential incongruence were identified, suggesting occasional recombination. Furthermore, individual MCP phylogeny and phylogeny based on the concatenated alignment of the MCP and Rep yielded largely congruent results. Thus, to avoid potential artefacts due to recombination, we decided to base the taxonomic framework on the MCP alone. Based on this phylogeny, seven major MCP clades were identified (Figure 1). We propose assigning microviruses from these seven clades to order level taxa (Table 1).</w:t>
            </w:r>
          </w:p>
          <w:p>
            <w:pPr>
              <w:pStyle w:val="BodyText"/>
              <w:widowControl/>
              <w:suppressAutoHyphens w:val="true"/>
              <w:spacing w:before="0" w:after="140"/>
              <w:jc w:val="left"/>
              <w:rPr>
                <w:rFonts w:ascii="Aptos" w:hAnsi="Aptos"/>
                <w:color w:val="000000"/>
                <w:sz w:val="12"/>
                <w:szCs w:val="12"/>
              </w:rPr>
            </w:pPr>
            <w:r>
              <w:rPr>
                <w:rFonts w:ascii="Aptos" w:hAnsi="Aptos"/>
                <w:color w:val="000000"/>
                <w:sz w:val="12"/>
                <w:szCs w:val="12"/>
              </w:rPr>
            </w:r>
          </w:p>
          <w:p>
            <w:pPr>
              <w:pStyle w:val="BodyText"/>
              <w:widowControl/>
              <w:suppressAutoHyphens w:val="true"/>
              <w:spacing w:lineRule="auto" w:line="288" w:before="0" w:after="0"/>
              <w:jc w:val="both"/>
              <w:rPr>
                <w:rFonts w:ascii="Aptos" w:hAnsi="Aptos"/>
                <w:color w:val="000000"/>
                <w:sz w:val="20"/>
                <w:szCs w:val="20"/>
                <w:lang w:val="en-US"/>
              </w:rPr>
            </w:pPr>
            <w:r>
              <w:rPr>
                <w:rFonts w:ascii="Aptos" w:hAnsi="Aptos"/>
                <w:color w:themeColor="text1" w:val="000000"/>
                <w:kern w:val="0"/>
                <w:sz w:val="20"/>
                <w:szCs w:val="20"/>
                <w:lang w:val="en-US" w:eastAsia="en-US" w:bidi="ar-SA"/>
              </w:rPr>
              <w:t xml:space="preserve">To ascertain that the proposed taxonomic framework can withstand influx of additional microvirus genomes, we mined the GenBank and IMG/VR4 databases for additional microvirus genomes and repeated the phylogenetic analysis with the expanded dataset. Despite massive expansion of the dataset (from 158 to 1065 genomes), the seven order-level groups remained stable and monophyletic. Analysis of the topologies of the order-specific trees allowed us to further delineate 21 well-supported monophyletic clades, which we define as families (Table 1, Figures 2-6). Notably, as described in Kirchberger </w:t>
            </w:r>
            <w:r>
              <w:rPr>
                <w:rFonts w:ascii="Aptos" w:hAnsi="Aptos"/>
                <w:i/>
                <w:iCs/>
                <w:color w:themeColor="text1" w:val="000000"/>
                <w:kern w:val="0"/>
                <w:sz w:val="20"/>
                <w:szCs w:val="20"/>
                <w:lang w:val="en-US" w:eastAsia="en-US" w:bidi="ar-SA"/>
              </w:rPr>
              <w:t>et al.</w:t>
            </w:r>
            <w:r>
              <w:rPr>
                <w:rFonts w:ascii="Aptos" w:hAnsi="Aptos"/>
                <w:color w:themeColor="text1" w:val="000000"/>
                <w:kern w:val="0"/>
                <w:sz w:val="20"/>
                <w:szCs w:val="20"/>
                <w:lang w:val="en-US" w:eastAsia="en-US" w:bidi="ar-SA"/>
              </w:rPr>
              <w:t xml:space="preserve"> 2022, the genomic architecture and gene content are also congruent with the MCP-based phylogeny.</w:t>
            </w:r>
          </w:p>
          <w:p>
            <w:pPr>
              <w:pStyle w:val="BodyText"/>
              <w:widowControl/>
              <w:suppressAutoHyphens w:val="true"/>
              <w:spacing w:before="0" w:after="140"/>
              <w:jc w:val="left"/>
              <w:rPr>
                <w:rFonts w:ascii="Aptos" w:hAnsi="Aptos"/>
                <w:color w:val="000000"/>
                <w:sz w:val="12"/>
                <w:szCs w:val="12"/>
              </w:rPr>
            </w:pPr>
            <w:r>
              <w:rPr>
                <w:rFonts w:ascii="Aptos" w:hAnsi="Aptos"/>
                <w:color w:val="000000"/>
                <w:sz w:val="12"/>
                <w:szCs w:val="12"/>
              </w:rPr>
            </w:r>
          </w:p>
          <w:p>
            <w:pPr>
              <w:pStyle w:val="BodyText"/>
              <w:widowControl/>
              <w:suppressAutoHyphens w:val="true"/>
              <w:spacing w:lineRule="auto" w:line="288" w:before="0" w:after="0"/>
              <w:jc w:val="both"/>
              <w:rPr>
                <w:rFonts w:ascii="Aptos" w:hAnsi="Aptos"/>
                <w:color w:val="000000"/>
                <w:sz w:val="20"/>
                <w:szCs w:val="20"/>
              </w:rPr>
            </w:pPr>
            <w:r>
              <w:rPr>
                <w:rFonts w:ascii="Aptos" w:hAnsi="Aptos"/>
                <w:color w:val="000000"/>
                <w:kern w:val="0"/>
                <w:sz w:val="20"/>
                <w:szCs w:val="20"/>
                <w:lang w:eastAsia="en-US" w:bidi="ar-SA"/>
              </w:rPr>
              <w:t>To define species and genera within the 21 proposed families, we used thresholds for the VIRIDIC intergenomic scores of 80 and 50, respectively. Considering the 158 genomes (from 21 previously classified viruses + 137 new viruses), a total of 131 species and 115 genera were proposed (Figure 1).</w:t>
            </w:r>
          </w:p>
          <w:p>
            <w:pPr>
              <w:pStyle w:val="BodyText"/>
              <w:widowControl/>
              <w:suppressAutoHyphens w:val="true"/>
              <w:spacing w:before="0" w:after="140"/>
              <w:jc w:val="left"/>
              <w:rPr>
                <w:rFonts w:ascii="Aptos" w:hAnsi="Aptos"/>
                <w:color w:val="000000"/>
                <w:sz w:val="12"/>
                <w:szCs w:val="12"/>
              </w:rPr>
            </w:pPr>
            <w:r>
              <w:rPr>
                <w:rFonts w:ascii="Aptos" w:hAnsi="Aptos"/>
                <w:color w:val="000000"/>
                <w:sz w:val="12"/>
                <w:szCs w:val="12"/>
              </w:rPr>
            </w:r>
          </w:p>
          <w:p>
            <w:pPr>
              <w:pStyle w:val="BodyText"/>
              <w:widowControl/>
              <w:suppressAutoHyphens w:val="true"/>
              <w:spacing w:lineRule="auto" w:line="288" w:before="0" w:after="0"/>
              <w:jc w:val="both"/>
              <w:rPr>
                <w:rFonts w:ascii="Aptos" w:hAnsi="Aptos"/>
                <w:color w:val="000000"/>
                <w:sz w:val="20"/>
                <w:szCs w:val="20"/>
                <w:lang w:val="en-US"/>
              </w:rPr>
            </w:pPr>
            <w:r>
              <w:rPr>
                <w:rFonts w:ascii="Aptos" w:hAnsi="Aptos"/>
                <w:color w:themeColor="text1" w:val="000000"/>
                <w:kern w:val="0"/>
                <w:sz w:val="20"/>
                <w:szCs w:val="20"/>
                <w:lang w:val="en-US" w:eastAsia="en-US" w:bidi="ar-SA"/>
              </w:rPr>
              <w:t xml:space="preserve">Notably, the two previously established subfamilies of the </w:t>
            </w:r>
            <w:r>
              <w:rPr>
                <w:rFonts w:ascii="Aptos" w:hAnsi="Aptos"/>
                <w:i/>
                <w:iCs/>
                <w:color w:themeColor="text1" w:val="000000"/>
                <w:kern w:val="0"/>
                <w:sz w:val="20"/>
                <w:szCs w:val="20"/>
                <w:lang w:val="en-US" w:eastAsia="en-US" w:bidi="ar-SA"/>
              </w:rPr>
              <w:t>Microviridae</w:t>
            </w:r>
            <w:r>
              <w:rPr>
                <w:rFonts w:ascii="Aptos" w:hAnsi="Aptos"/>
                <w:color w:themeColor="text1" w:val="000000"/>
                <w:kern w:val="0"/>
                <w:sz w:val="20"/>
                <w:szCs w:val="20"/>
                <w:lang w:val="en-US" w:eastAsia="en-US" w:bidi="ar-SA"/>
              </w:rPr>
              <w:t xml:space="preserve">, namely, </w:t>
            </w:r>
            <w:r>
              <w:rPr>
                <w:rFonts w:ascii="Aptos" w:hAnsi="Aptos"/>
                <w:i/>
                <w:iCs/>
                <w:color w:themeColor="text1" w:val="000000"/>
                <w:kern w:val="0"/>
                <w:sz w:val="20"/>
                <w:szCs w:val="20"/>
                <w:lang w:val="en-US" w:eastAsia="en-US" w:bidi="ar-SA"/>
              </w:rPr>
              <w:t xml:space="preserve">Bullavirinae </w:t>
            </w:r>
            <w:r>
              <w:rPr>
                <w:rFonts w:ascii="Aptos" w:hAnsi="Aptos"/>
                <w:color w:themeColor="text1" w:val="000000"/>
                <w:kern w:val="0"/>
                <w:sz w:val="20"/>
                <w:szCs w:val="20"/>
                <w:lang w:val="en-US" w:eastAsia="en-US" w:bidi="ar-SA"/>
              </w:rPr>
              <w:t xml:space="preserve">and </w:t>
            </w:r>
            <w:r>
              <w:rPr>
                <w:rFonts w:ascii="Aptos" w:hAnsi="Aptos"/>
                <w:i/>
                <w:iCs/>
                <w:color w:themeColor="text1" w:val="000000"/>
                <w:kern w:val="0"/>
                <w:sz w:val="20"/>
                <w:szCs w:val="20"/>
                <w:lang w:val="en-US" w:eastAsia="en-US" w:bidi="ar-SA"/>
              </w:rPr>
              <w:t>Gokushovirinae</w:t>
            </w:r>
            <w:r>
              <w:rPr>
                <w:rFonts w:ascii="Aptos" w:hAnsi="Aptos"/>
                <w:color w:themeColor="text1" w:val="000000"/>
                <w:kern w:val="0"/>
                <w:sz w:val="20"/>
                <w:szCs w:val="20"/>
                <w:lang w:val="en-US" w:eastAsia="en-US" w:bidi="ar-SA"/>
              </w:rPr>
              <w:t>, were elevated to order level taxa, “</w:t>
            </w:r>
            <w:r>
              <w:rPr>
                <w:rFonts w:ascii="Aptos" w:hAnsi="Aptos"/>
                <w:i/>
                <w:iCs/>
                <w:color w:themeColor="text1" w:val="000000"/>
                <w:kern w:val="0"/>
                <w:sz w:val="20"/>
                <w:szCs w:val="20"/>
                <w:lang w:val="en-US" w:eastAsia="en-US" w:bidi="ar-SA"/>
              </w:rPr>
              <w:t>Bullavirales</w:t>
            </w:r>
            <w:r>
              <w:rPr>
                <w:rFonts w:ascii="Aptos" w:hAnsi="Aptos"/>
                <w:color w:themeColor="text1" w:val="000000"/>
                <w:kern w:val="0"/>
                <w:sz w:val="20"/>
                <w:szCs w:val="20"/>
                <w:lang w:val="en-US" w:eastAsia="en-US" w:bidi="ar-SA"/>
              </w:rPr>
              <w:t>“ and “</w:t>
            </w:r>
            <w:r>
              <w:rPr>
                <w:rFonts w:ascii="Aptos" w:hAnsi="Aptos"/>
                <w:i/>
                <w:iCs/>
                <w:color w:themeColor="text1" w:val="000000"/>
                <w:kern w:val="0"/>
                <w:sz w:val="20"/>
                <w:szCs w:val="20"/>
                <w:lang w:val="en-US" w:eastAsia="en-US" w:bidi="ar-SA"/>
              </w:rPr>
              <w:t>Gokushovirales</w:t>
            </w:r>
            <w:r>
              <w:rPr>
                <w:rFonts w:ascii="Aptos" w:hAnsi="Aptos"/>
                <w:color w:themeColor="text1" w:val="000000"/>
                <w:kern w:val="0"/>
                <w:sz w:val="20"/>
                <w:szCs w:val="20"/>
                <w:lang w:val="en-US" w:eastAsia="en-US" w:bidi="ar-SA"/>
              </w:rPr>
              <w:t xml:space="preserve">”, respectively. Furthermore, using the new species and genus demarcation criteria, the four existing species in the </w:t>
            </w:r>
            <w:r>
              <w:rPr>
                <w:rFonts w:ascii="Aptos" w:hAnsi="Aptos"/>
                <w:i/>
                <w:iCs/>
                <w:color w:themeColor="text1" w:val="000000"/>
                <w:kern w:val="0"/>
                <w:sz w:val="20"/>
                <w:szCs w:val="20"/>
                <w:lang w:val="en-US" w:eastAsia="en-US" w:bidi="ar-SA"/>
              </w:rPr>
              <w:t>Chlamydiamicrovirus</w:t>
            </w:r>
            <w:r>
              <w:rPr>
                <w:rFonts w:ascii="Aptos" w:hAnsi="Aptos"/>
                <w:color w:themeColor="text1" w:val="000000"/>
                <w:kern w:val="0"/>
                <w:sz w:val="20"/>
                <w:szCs w:val="20"/>
                <w:lang w:val="en-US" w:eastAsia="en-US" w:bidi="ar-SA"/>
              </w:rPr>
              <w:t xml:space="preserve"> genus (</w:t>
            </w:r>
            <w:r>
              <w:rPr>
                <w:rFonts w:ascii="Aptos" w:hAnsi="Aptos"/>
                <w:i/>
                <w:iCs/>
                <w:color w:themeColor="text1" w:val="000000"/>
                <w:kern w:val="0"/>
                <w:sz w:val="20"/>
                <w:szCs w:val="20"/>
                <w:lang w:val="en-US" w:eastAsia="en-US" w:bidi="ar-SA"/>
              </w:rPr>
              <w:t>Chlamydiamicrovirus Chp1</w:t>
            </w:r>
            <w:r>
              <w:rPr>
                <w:rFonts w:ascii="Aptos" w:hAnsi="Aptos"/>
                <w:color w:themeColor="text1" w:val="000000"/>
                <w:kern w:val="0"/>
                <w:sz w:val="20"/>
                <w:szCs w:val="20"/>
                <w:lang w:val="en-US" w:eastAsia="en-US" w:bidi="ar-SA"/>
              </w:rPr>
              <w:t xml:space="preserve">, </w:t>
            </w:r>
            <w:r>
              <w:rPr>
                <w:rFonts w:ascii="Aptos" w:hAnsi="Aptos"/>
                <w:i/>
                <w:iCs/>
                <w:color w:themeColor="text1" w:val="000000"/>
                <w:kern w:val="0"/>
                <w:sz w:val="20"/>
                <w:szCs w:val="20"/>
                <w:lang w:val="en-US" w:eastAsia="en-US" w:bidi="ar-SA"/>
              </w:rPr>
              <w:t>Chlamydiamicrovirus Chp2</w:t>
            </w:r>
            <w:r>
              <w:rPr>
                <w:rFonts w:ascii="Aptos" w:hAnsi="Aptos"/>
                <w:color w:themeColor="text1" w:val="000000"/>
                <w:kern w:val="0"/>
                <w:sz w:val="20"/>
                <w:szCs w:val="20"/>
                <w:lang w:val="en-US" w:eastAsia="en-US" w:bidi="ar-SA"/>
              </w:rPr>
              <w:t xml:space="preserve">, </w:t>
            </w:r>
            <w:r>
              <w:rPr>
                <w:rFonts w:ascii="Aptos" w:hAnsi="Aptos"/>
                <w:i/>
                <w:iCs/>
                <w:color w:themeColor="text1" w:val="000000"/>
                <w:kern w:val="0"/>
                <w:sz w:val="20"/>
                <w:szCs w:val="20"/>
                <w:lang w:val="en-US" w:eastAsia="en-US" w:bidi="ar-SA"/>
              </w:rPr>
              <w:t>Chlamydiamicrovirus CPAR39</w:t>
            </w:r>
            <w:r>
              <w:rPr>
                <w:rFonts w:ascii="Aptos" w:hAnsi="Aptos"/>
                <w:color w:themeColor="text1" w:val="000000"/>
                <w:kern w:val="0"/>
                <w:sz w:val="20"/>
                <w:szCs w:val="20"/>
                <w:lang w:val="en-US" w:eastAsia="en-US" w:bidi="ar-SA"/>
              </w:rPr>
              <w:t xml:space="preserve"> and </w:t>
            </w:r>
            <w:r>
              <w:rPr>
                <w:rFonts w:ascii="Aptos" w:hAnsi="Aptos"/>
                <w:i/>
                <w:iCs/>
                <w:color w:themeColor="text1" w:val="000000"/>
                <w:kern w:val="0"/>
                <w:sz w:val="20"/>
                <w:szCs w:val="20"/>
                <w:lang w:val="en-US" w:eastAsia="en-US" w:bidi="ar-SA"/>
              </w:rPr>
              <w:t>Chlamydiamicrovirus CPG1</w:t>
            </w:r>
            <w:r>
              <w:rPr>
                <w:rFonts w:ascii="Aptos" w:hAnsi="Aptos"/>
                <w:color w:themeColor="text1" w:val="000000"/>
                <w:kern w:val="0"/>
                <w:sz w:val="20"/>
                <w:szCs w:val="20"/>
                <w:lang w:val="en-US" w:eastAsia="en-US" w:bidi="ar-SA"/>
              </w:rPr>
              <w:t>) were separated into two new genera, “</w:t>
            </w:r>
            <w:r>
              <w:rPr>
                <w:rFonts w:ascii="Aptos" w:hAnsi="Aptos"/>
                <w:i/>
                <w:iCs/>
                <w:color w:themeColor="text1" w:val="000000"/>
                <w:kern w:val="0"/>
                <w:sz w:val="20"/>
                <w:szCs w:val="20"/>
                <w:lang w:val="en-US" w:eastAsia="en-US" w:bidi="ar-SA"/>
              </w:rPr>
              <w:t>Chlamydiaunovirus</w:t>
            </w:r>
            <w:r>
              <w:rPr>
                <w:rFonts w:ascii="Aptos" w:hAnsi="Aptos"/>
                <w:color w:themeColor="text1" w:val="000000"/>
                <w:kern w:val="0"/>
                <w:sz w:val="20"/>
                <w:szCs w:val="20"/>
                <w:lang w:val="en-US" w:eastAsia="en-US" w:bidi="ar-SA"/>
              </w:rPr>
              <w:t>” (</w:t>
            </w:r>
            <w:r>
              <w:rPr>
                <w:rFonts w:ascii="Aptos" w:hAnsi="Aptos"/>
                <w:i/>
                <w:iCs/>
                <w:color w:themeColor="text1" w:val="000000"/>
                <w:kern w:val="0"/>
                <w:sz w:val="20"/>
                <w:szCs w:val="20"/>
                <w:lang w:val="en-US" w:eastAsia="en-US" w:bidi="ar-SA"/>
              </w:rPr>
              <w:t>Chlamydiamicrovirus Chp1</w:t>
            </w:r>
            <w:r>
              <w:rPr>
                <w:rFonts w:ascii="Aptos" w:hAnsi="Aptos"/>
                <w:color w:themeColor="text1" w:val="000000"/>
                <w:kern w:val="0"/>
                <w:sz w:val="20"/>
                <w:szCs w:val="20"/>
                <w:lang w:val="en-US" w:eastAsia="en-US" w:bidi="ar-SA"/>
              </w:rPr>
              <w:t>) and “</w:t>
            </w:r>
            <w:r>
              <w:rPr>
                <w:rFonts w:ascii="Aptos" w:hAnsi="Aptos"/>
                <w:i/>
                <w:iCs/>
                <w:color w:themeColor="text1" w:val="000000"/>
                <w:kern w:val="0"/>
                <w:sz w:val="20"/>
                <w:szCs w:val="20"/>
                <w:lang w:val="en-US" w:eastAsia="en-US" w:bidi="ar-SA"/>
              </w:rPr>
              <w:t>Chlamydiaduovirus</w:t>
            </w:r>
            <w:r>
              <w:rPr>
                <w:rFonts w:ascii="Aptos" w:hAnsi="Aptos"/>
                <w:color w:themeColor="text1" w:val="000000"/>
                <w:kern w:val="0"/>
                <w:sz w:val="20"/>
                <w:szCs w:val="20"/>
                <w:lang w:val="en-US" w:eastAsia="en-US" w:bidi="ar-SA"/>
              </w:rPr>
              <w:t>” (</w:t>
            </w:r>
            <w:r>
              <w:rPr>
                <w:rFonts w:ascii="Aptos" w:hAnsi="Aptos"/>
                <w:i/>
                <w:iCs/>
                <w:color w:themeColor="text1" w:val="000000"/>
                <w:kern w:val="0"/>
                <w:sz w:val="20"/>
                <w:szCs w:val="20"/>
                <w:lang w:val="en-US" w:eastAsia="en-US" w:bidi="ar-SA"/>
              </w:rPr>
              <w:t>Chlamydiamicrovirus Chp2</w:t>
            </w:r>
            <w:r>
              <w:rPr>
                <w:rFonts w:ascii="Aptos" w:hAnsi="Aptos"/>
                <w:color w:themeColor="text1" w:val="000000"/>
                <w:kern w:val="0"/>
                <w:sz w:val="20"/>
                <w:szCs w:val="20"/>
                <w:lang w:val="en-US" w:eastAsia="en-US" w:bidi="ar-SA"/>
              </w:rPr>
              <w:t xml:space="preserve">, </w:t>
            </w:r>
            <w:r>
              <w:rPr>
                <w:rFonts w:ascii="Aptos" w:hAnsi="Aptos"/>
                <w:i/>
                <w:iCs/>
                <w:color w:themeColor="text1" w:val="000000"/>
                <w:kern w:val="0"/>
                <w:sz w:val="20"/>
                <w:szCs w:val="20"/>
                <w:lang w:val="en-US" w:eastAsia="en-US" w:bidi="ar-SA"/>
              </w:rPr>
              <w:t>Chlamydiamicrovirus CPAR39</w:t>
            </w:r>
            <w:r>
              <w:rPr>
                <w:rFonts w:ascii="Aptos" w:hAnsi="Aptos"/>
                <w:color w:themeColor="text1" w:val="000000"/>
                <w:kern w:val="0"/>
                <w:sz w:val="20"/>
                <w:szCs w:val="20"/>
                <w:lang w:val="en-US" w:eastAsia="en-US" w:bidi="ar-SA"/>
              </w:rPr>
              <w:t xml:space="preserve"> and </w:t>
            </w:r>
            <w:r>
              <w:rPr>
                <w:rFonts w:ascii="Aptos" w:hAnsi="Aptos"/>
                <w:i/>
                <w:iCs/>
                <w:color w:themeColor="text1" w:val="000000"/>
                <w:kern w:val="0"/>
                <w:sz w:val="20"/>
                <w:szCs w:val="20"/>
                <w:lang w:val="en-US" w:eastAsia="en-US" w:bidi="ar-SA"/>
              </w:rPr>
              <w:t>Chlamydiamicrovirus CPG1</w:t>
            </w:r>
            <w:r>
              <w:rPr>
                <w:rFonts w:ascii="Aptos" w:hAnsi="Aptos"/>
                <w:color w:themeColor="text1" w:val="000000"/>
                <w:kern w:val="0"/>
                <w:sz w:val="20"/>
                <w:szCs w:val="20"/>
                <w:lang w:val="en-US" w:eastAsia="en-US" w:bidi="ar-SA"/>
              </w:rPr>
              <w:t>).</w:t>
            </w:r>
          </w:p>
          <w:p>
            <w:pPr>
              <w:pStyle w:val="BodyText"/>
              <w:widowControl/>
              <w:suppressAutoHyphens w:val="true"/>
              <w:spacing w:before="0" w:after="140"/>
              <w:jc w:val="left"/>
              <w:rPr>
                <w:rFonts w:ascii="Aptos" w:hAnsi="Aptos"/>
                <w:color w:val="000000"/>
                <w:sz w:val="12"/>
                <w:szCs w:val="12"/>
              </w:rPr>
            </w:pPr>
            <w:r>
              <w:rPr>
                <w:rFonts w:ascii="Aptos" w:hAnsi="Aptos"/>
                <w:color w:val="000000"/>
                <w:sz w:val="12"/>
                <w:szCs w:val="12"/>
              </w:rPr>
            </w:r>
          </w:p>
          <w:p>
            <w:pPr>
              <w:pStyle w:val="BodyText"/>
              <w:widowControl/>
              <w:suppressAutoHyphens w:val="true"/>
              <w:spacing w:lineRule="auto" w:line="288" w:before="0" w:after="0"/>
              <w:jc w:val="both"/>
              <w:rPr>
                <w:rFonts w:ascii="Aptos" w:hAnsi="Aptos"/>
                <w:color w:val="000000"/>
                <w:sz w:val="20"/>
                <w:szCs w:val="20"/>
                <w:lang w:val="en-US"/>
              </w:rPr>
            </w:pPr>
            <w:r>
              <w:rPr>
                <w:rFonts w:ascii="Aptos" w:hAnsi="Aptos"/>
                <w:color w:themeColor="text1" w:val="000000"/>
                <w:kern w:val="0"/>
                <w:sz w:val="20"/>
                <w:szCs w:val="20"/>
                <w:lang w:val="en-US" w:eastAsia="en-US" w:bidi="ar-SA"/>
              </w:rPr>
              <w:t>To sum up, based on the comprehensive phylogenetic and comparative genomics analysis of the 158 reference genomes, the class “</w:t>
            </w:r>
            <w:r>
              <w:rPr>
                <w:rFonts w:ascii="Aptos" w:hAnsi="Aptos"/>
                <w:i/>
                <w:iCs/>
                <w:color w:themeColor="text1" w:val="000000"/>
                <w:kern w:val="0"/>
                <w:sz w:val="20"/>
                <w:szCs w:val="20"/>
                <w:lang w:val="en-US" w:eastAsia="en-US" w:bidi="ar-SA"/>
              </w:rPr>
              <w:t>Microviricetes</w:t>
            </w:r>
            <w:r>
              <w:rPr>
                <w:rFonts w:ascii="Aptos" w:hAnsi="Aptos"/>
                <w:color w:themeColor="text1" w:val="000000"/>
                <w:kern w:val="0"/>
                <w:sz w:val="20"/>
                <w:szCs w:val="20"/>
                <w:lang w:val="en-US" w:eastAsia="en-US" w:bidi="ar-SA"/>
              </w:rPr>
              <w:t>” is proposed to comprise seven distinct orders, with 21 families, 115 genera and 131 species.</w:t>
            </w:r>
          </w:p>
          <w:p>
            <w:pPr>
              <w:pStyle w:val="BodyText"/>
              <w:widowControl/>
              <w:suppressAutoHyphens w:val="true"/>
              <w:spacing w:lineRule="auto" w:line="288" w:before="0" w:after="0"/>
              <w:jc w:val="both"/>
              <w:rPr>
                <w:i/>
                <w:i/>
                <w:iCs/>
                <w:u w:val="single"/>
              </w:rPr>
            </w:pPr>
            <w:r>
              <w:rPr>
                <w:i/>
                <w:iCs/>
                <w:u w:val="single"/>
              </w:rPr>
            </w:r>
          </w:p>
          <w:p>
            <w:pPr>
              <w:pStyle w:val="BodyText"/>
              <w:widowControl/>
              <w:suppressAutoHyphens w:val="true"/>
              <w:spacing w:lineRule="auto" w:line="288" w:before="0" w:after="0"/>
              <w:jc w:val="both"/>
              <w:rPr>
                <w:rFonts w:ascii="Aptos" w:hAnsi="Aptos"/>
                <w:color w:val="000000"/>
                <w:sz w:val="20"/>
                <w:szCs w:val="20"/>
              </w:rPr>
            </w:pPr>
            <w:r>
              <w:rPr>
                <w:rFonts w:ascii="Aptos" w:hAnsi="Aptos"/>
                <w:i/>
                <w:iCs/>
                <w:color w:val="000000"/>
                <w:kern w:val="0"/>
                <w:sz w:val="20"/>
                <w:szCs w:val="20"/>
                <w:u w:val="single"/>
                <w:lang w:eastAsia="en-US" w:bidi="ar-SA"/>
              </w:rPr>
              <w:t>Genus and species name generation</w:t>
            </w:r>
          </w:p>
          <w:p>
            <w:pPr>
              <w:pStyle w:val="BodyText"/>
              <w:widowControl/>
              <w:suppressAutoHyphens w:val="true"/>
              <w:spacing w:lineRule="auto" w:line="288" w:before="0" w:after="0"/>
              <w:jc w:val="both"/>
              <w:rPr>
                <w:rFonts w:ascii="Aptos" w:hAnsi="Aptos"/>
                <w:color w:val="000000"/>
                <w:sz w:val="20"/>
                <w:szCs w:val="20"/>
                <w:lang w:val="en-US"/>
              </w:rPr>
            </w:pPr>
            <w:r>
              <w:rPr>
                <w:rFonts w:ascii="Aptos" w:hAnsi="Aptos"/>
                <w:color w:themeColor="text1" w:val="000000"/>
                <w:kern w:val="0"/>
                <w:sz w:val="20"/>
                <w:szCs w:val="20"/>
                <w:lang w:val="en-US" w:eastAsia="en-US" w:bidi="ar-SA"/>
              </w:rPr>
              <w:t>The generation of genus names for the 108 proposed genera and of the latinized binomial virus species names were performed by using locations, source or host of the representative virus, following the previously proposed guidelines (</w:t>
            </w:r>
            <w:r>
              <w:rPr>
                <w:rFonts w:cs="Arial" w:ascii="Aptos" w:hAnsi="Aptos"/>
                <w:color w:themeColor="text1" w:val="000000"/>
                <w:kern w:val="0"/>
                <w:sz w:val="20"/>
                <w:szCs w:val="20"/>
                <w:lang w:val="en-US" w:eastAsia="en-US" w:bidi="ar-SA"/>
              </w:rPr>
              <w:t xml:space="preserve">Postler </w:t>
            </w:r>
            <w:r>
              <w:rPr>
                <w:rFonts w:cs="Arial" w:ascii="Aptos" w:hAnsi="Aptos"/>
                <w:i/>
                <w:iCs/>
                <w:color w:themeColor="text1" w:val="000000"/>
                <w:kern w:val="0"/>
                <w:sz w:val="20"/>
                <w:szCs w:val="20"/>
                <w:lang w:val="en-US" w:eastAsia="en-US" w:bidi="ar-SA"/>
              </w:rPr>
              <w:t>et al.</w:t>
            </w:r>
            <w:r>
              <w:rPr>
                <w:rFonts w:cs="Arial" w:ascii="Aptos" w:hAnsi="Aptos"/>
                <w:color w:themeColor="text1" w:val="000000"/>
                <w:kern w:val="0"/>
                <w:sz w:val="20"/>
                <w:szCs w:val="20"/>
                <w:lang w:val="en-US" w:eastAsia="en-US" w:bidi="ar-SA"/>
              </w:rPr>
              <w:t xml:space="preserve"> 2022</w:t>
            </w:r>
            <w:r>
              <w:rPr>
                <w:rFonts w:ascii="Aptos" w:hAnsi="Aptos"/>
                <w:color w:themeColor="text1" w:val="000000"/>
                <w:kern w:val="0"/>
                <w:sz w:val="20"/>
                <w:szCs w:val="20"/>
                <w:lang w:val="en-US" w:eastAsia="en-US" w:bidi="ar-SA"/>
              </w:rPr>
              <w:t>). The proposed taxon names were checked against the ICTV Species Master List 2024.v1 to ensure the uniqueness of the name word stems.</w:t>
            </w:r>
          </w:p>
        </w:tc>
      </w:tr>
    </w:tbl>
    <w:tbl>
      <w:tblPr>
        <w:tblStyle w:val="TableGrid"/>
        <w:tblpPr w:vertAnchor="text" w:horzAnchor="margin" w:leftFromText="180" w:rightFromText="180" w:tblpX="108" w:tblpY="124"/>
        <w:tblW w:w="8926"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8926"/>
      </w:tblGrid>
      <w:tr>
        <w:trPr/>
        <w:tc>
          <w:tcPr>
            <w:tcW w:w="8926" w:type="dxa"/>
            <w:tcBorders/>
            <w:shd w:color="auto" w:fill="F2F2F2" w:themeFill="background1" w:themeFillShade="f2" w:val="clear"/>
          </w:tcPr>
          <w:p>
            <w:pPr>
              <w:pStyle w:val="Normal"/>
              <w:widowControl/>
              <w:suppressAutoHyphens w:val="true"/>
              <w:spacing w:before="0" w:after="0"/>
              <w:jc w:val="left"/>
              <w:rPr>
                <w:rFonts w:ascii="Aptos" w:hAnsi="Aptos" w:cs="Arial"/>
                <w:b/>
                <w:sz w:val="20"/>
                <w:szCs w:val="20"/>
              </w:rPr>
            </w:pPr>
            <w:r>
              <w:rPr>
                <w:rFonts w:cs="Arial" w:ascii="Aptos" w:hAnsi="Aptos"/>
                <w:b/>
                <w:kern w:val="0"/>
                <w:sz w:val="20"/>
                <w:szCs w:val="20"/>
                <w:lang w:eastAsia="en-US" w:bidi="ar-SA"/>
              </w:rPr>
              <w:t>References:</w:t>
            </w:r>
          </w:p>
        </w:tc>
      </w:tr>
      <w:tr>
        <w:trPr/>
        <w:tc>
          <w:tcPr>
            <w:tcW w:w="8926" w:type="dxa"/>
            <w:tcBorders/>
          </w:tcPr>
          <w:p>
            <w:pPr>
              <w:pStyle w:val="Normal"/>
              <w:widowControl/>
              <w:suppressAutoHyphens w:val="true"/>
              <w:spacing w:before="0" w:after="0"/>
              <w:jc w:val="left"/>
              <w:rPr>
                <w:rFonts w:ascii="Aptos" w:hAnsi="Aptos" w:cs="Arial"/>
                <w:sz w:val="20"/>
                <w:szCs w:val="20"/>
              </w:rPr>
            </w:pPr>
            <w:r>
              <w:rPr>
                <w:rFonts w:cs="Arial" w:ascii="Aptos" w:hAnsi="Aptos"/>
                <w:sz w:val="20"/>
                <w:szCs w:val="20"/>
              </w:rPr>
            </w:r>
          </w:p>
          <w:p>
            <w:pPr>
              <w:pStyle w:val="Normal"/>
              <w:widowControl/>
              <w:suppressAutoHyphens w:val="true"/>
              <w:spacing w:before="113" w:after="57"/>
              <w:ind w:hanging="340" w:left="454"/>
              <w:jc w:val="both"/>
              <w:rPr>
                <w:rFonts w:ascii="Aptos" w:hAnsi="Aptos"/>
                <w:sz w:val="20"/>
                <w:szCs w:val="20"/>
              </w:rPr>
            </w:pPr>
            <w:r>
              <w:rPr>
                <w:rFonts w:cs="Arial" w:ascii="Aptos" w:hAnsi="Aptos"/>
                <w:kern w:val="0"/>
                <w:sz w:val="20"/>
                <w:szCs w:val="20"/>
                <w:lang w:eastAsia="en-US" w:bidi="ar-SA"/>
              </w:rPr>
              <w:t>Kirchberger PC, Martinez ZA, Ochman H. Organizing the Global Diversity of Microviruses. mBio. 2022;13(3):e0058822. doi: 10.1128/mbio.00588-22.</w:t>
            </w:r>
          </w:p>
          <w:p>
            <w:pPr>
              <w:pStyle w:val="Normal"/>
              <w:widowControl/>
              <w:suppressAutoHyphens w:val="true"/>
              <w:spacing w:before="113" w:after="57"/>
              <w:ind w:hanging="340" w:left="454"/>
              <w:jc w:val="both"/>
              <w:rPr>
                <w:rFonts w:ascii="Aptos" w:hAnsi="Aptos"/>
                <w:sz w:val="20"/>
                <w:szCs w:val="20"/>
              </w:rPr>
            </w:pPr>
            <w:r>
              <w:rPr>
                <w:rFonts w:cs="Arial" w:ascii="Aptos" w:hAnsi="Aptos"/>
                <w:kern w:val="0"/>
                <w:sz w:val="20"/>
                <w:szCs w:val="20"/>
                <w:lang w:eastAsia="en-US" w:bidi="ar-SA"/>
              </w:rPr>
              <w:t>Moraru C, Varsani A, Kropinski AM. VIRIDIC—A Novel Tool to Calculate the Intergenomic Similarities of Prokaryote-Infecting Viruses. Viruses 2020, 12, 1268. https://doi.org/10.3390/v12111268</w:t>
            </w:r>
          </w:p>
          <w:p>
            <w:pPr>
              <w:pStyle w:val="Normal"/>
              <w:widowControl/>
              <w:suppressAutoHyphens w:val="true"/>
              <w:spacing w:before="113" w:after="57"/>
              <w:ind w:hanging="340" w:left="454"/>
              <w:jc w:val="both"/>
              <w:rPr>
                <w:kern w:val="0"/>
                <w:sz w:val="24"/>
                <w:szCs w:val="24"/>
                <w:lang w:eastAsia="en-US" w:bidi="ar-SA"/>
              </w:rPr>
            </w:pPr>
            <w:r>
              <w:rPr>
                <w:rFonts w:cs="Arial" w:ascii="Aptos" w:hAnsi="Aptos"/>
                <w:kern w:val="0"/>
                <w:sz w:val="20"/>
                <w:szCs w:val="20"/>
                <w:lang w:eastAsia="en-US" w:bidi="ar-SA"/>
              </w:rPr>
              <w:t>Postler TS, Rubino L, Adriaenssens EM, Dutilh BE, Harrach B, Junglen S, Kropinski AM, Krupovic M, Wada J, Crane A, Kuhn JH, Mushegian A, Rūmnieks J, Sabanadzovic S, Simmonds P, Varsani A, Zerbini FM, Callanan J, Draper LA, Hill C, Stockdale SR. Guidance for creating individual and batch latinized binomial virus species names. J Gen Virol. 2022 ;103(12):001800. doi: 10.1099/jgv.0.001800.</w:t>
            </w:r>
          </w:p>
          <w:p>
            <w:pPr>
              <w:pStyle w:val="Normal"/>
              <w:widowControl/>
              <w:suppressAutoHyphens w:val="true"/>
              <w:spacing w:before="113" w:after="57"/>
              <w:ind w:hanging="340" w:left="454"/>
              <w:jc w:val="both"/>
              <w:rPr>
                <w:kern w:val="0"/>
                <w:sz w:val="24"/>
                <w:szCs w:val="24"/>
                <w:lang w:eastAsia="en-US" w:bidi="ar-SA"/>
              </w:rPr>
            </w:pPr>
            <w:r>
              <w:rPr>
                <w:rFonts w:cs="Arial" w:ascii="Aptos" w:hAnsi="Aptos"/>
                <w:kern w:val="0"/>
                <w:sz w:val="20"/>
                <w:szCs w:val="20"/>
                <w:lang w:eastAsia="en-US" w:bidi="ar-SA"/>
              </w:rPr>
              <w:t>Roux S, Krupovic M, Poulet A, Debroas D, Enault F. Evolution and diversity of the Microviridae viral family through a collection of 81 new complete genomes assembled from virome reads. PLoS One. 2012;7(7):e40418. doi: 10.1371/journal.pone.0040418.</w:t>
            </w:r>
          </w:p>
          <w:p>
            <w:pPr>
              <w:pStyle w:val="Normal"/>
              <w:widowControl/>
              <w:suppressAutoHyphens w:val="true"/>
              <w:spacing w:before="113" w:after="57"/>
              <w:ind w:hanging="340" w:left="454"/>
              <w:jc w:val="both"/>
              <w:rPr>
                <w:rFonts w:ascii="Aptos" w:hAnsi="Aptos"/>
                <w:sz w:val="20"/>
                <w:szCs w:val="20"/>
              </w:rPr>
            </w:pPr>
            <w:r>
              <w:rPr>
                <w:rFonts w:cs="Arial" w:ascii="Aptos" w:hAnsi="Aptos"/>
                <w:kern w:val="0"/>
                <w:sz w:val="20"/>
                <w:szCs w:val="20"/>
                <w:lang w:eastAsia="en-US" w:bidi="ar-SA"/>
              </w:rPr>
              <w:t xml:space="preserve">Wang H, Ling Y, Shan T, Yang S, Xu H, Deng X, Delwart E, Zhang W. Gut virome of mammals and birds reveals high genetic diversity of the family </w:t>
            </w:r>
            <w:r>
              <w:rPr>
                <w:rFonts w:cs="Arial" w:ascii="Aptos" w:hAnsi="Aptos"/>
                <w:i/>
                <w:kern w:val="0"/>
                <w:sz w:val="20"/>
                <w:szCs w:val="20"/>
                <w:lang w:eastAsia="en-US" w:bidi="ar-SA"/>
              </w:rPr>
              <w:t>Microviridae</w:t>
            </w:r>
            <w:r>
              <w:rPr>
                <w:rFonts w:cs="Arial" w:ascii="Aptos" w:hAnsi="Aptos"/>
                <w:kern w:val="0"/>
                <w:sz w:val="20"/>
                <w:szCs w:val="20"/>
                <w:lang w:eastAsia="en-US" w:bidi="ar-SA"/>
              </w:rPr>
              <w:t>. Virus Evol. 2019 Jun 8;5(1):vez013. doi: 10.1093/ve/vez013.</w:t>
            </w:r>
          </w:p>
          <w:p>
            <w:pPr>
              <w:pStyle w:val="Normal"/>
              <w:widowControl/>
              <w:suppressAutoHyphens w:val="true"/>
              <w:spacing w:before="113" w:after="57"/>
              <w:ind w:hanging="340" w:left="454"/>
              <w:jc w:val="both"/>
              <w:rPr>
                <w:rFonts w:ascii="Aptos" w:hAnsi="Aptos"/>
                <w:sz w:val="20"/>
                <w:szCs w:val="20"/>
              </w:rPr>
            </w:pPr>
            <w:r>
              <w:rPr>
                <w:rFonts w:ascii="Aptos" w:hAnsi="Aptos"/>
                <w:sz w:val="20"/>
                <w:szCs w:val="20"/>
              </w:rPr>
            </w:r>
          </w:p>
        </w:tc>
      </w:tr>
    </w:tbl>
    <w:p>
      <w:pPr>
        <w:pStyle w:val="Normal"/>
        <w:rPr>
          <w:rFonts w:ascii="Aptos" w:hAnsi="Aptos" w:cs="Arial"/>
          <w:color w:themeColor="background1" w:themeShade="80" w:val="808080"/>
          <w:sz w:val="20"/>
        </w:rPr>
      </w:pPr>
      <w:r>
        <w:rPr>
          <w:rFonts w:cs="Arial" w:ascii="Aptos" w:hAnsi="Aptos"/>
          <w:color w:themeColor="background1" w:themeShade="80" w:val="808080"/>
          <w:sz w:val="20"/>
        </w:rPr>
      </w:r>
    </w:p>
    <w:tbl>
      <w:tblPr>
        <w:tblStyle w:val="TableGrid"/>
        <w:tblW w:w="8926" w:type="dxa"/>
        <w:jc w:val="left"/>
        <w:tblInd w:w="113" w:type="dxa"/>
        <w:tblLayout w:type="fixed"/>
        <w:tblCellMar>
          <w:top w:w="0" w:type="dxa"/>
          <w:left w:w="108" w:type="dxa"/>
          <w:bottom w:w="0" w:type="dxa"/>
          <w:right w:w="108" w:type="dxa"/>
        </w:tblCellMar>
        <w:tblLook w:val="04a0" w:noHBand="0" w:noVBand="1" w:firstColumn="1" w:lastRow="0" w:lastColumn="0" w:firstRow="1"/>
      </w:tblPr>
      <w:tblGrid>
        <w:gridCol w:w="2260"/>
        <w:gridCol w:w="6665"/>
      </w:tblGrid>
      <w:tr>
        <w:trPr>
          <w:trHeight w:val="297" w:hRule="atLeast"/>
        </w:trPr>
        <w:tc>
          <w:tcPr>
            <w:tcW w:w="8925" w:type="dxa"/>
            <w:gridSpan w:val="2"/>
            <w:tcBorders/>
            <w:shd w:color="auto" w:fill="F2F2F2" w:themeFill="background1" w:themeFillShade="f2" w:val="clear"/>
          </w:tcPr>
          <w:p>
            <w:pPr>
              <w:pStyle w:val="Normal"/>
              <w:widowControl/>
              <w:suppressAutoHyphens w:val="true"/>
              <w:spacing w:before="0" w:after="0"/>
              <w:jc w:val="left"/>
              <w:rPr>
                <w:rFonts w:ascii="Aptos" w:hAnsi="Aptos" w:cs="Arial"/>
                <w:b/>
                <w:color w:val="0000FF"/>
                <w:sz w:val="20"/>
              </w:rPr>
            </w:pPr>
            <w:r>
              <w:rPr>
                <w:rFonts w:cs="Arial" w:ascii="Aptos" w:hAnsi="Aptos"/>
                <w:b/>
                <w:kern w:val="0"/>
                <w:sz w:val="20"/>
                <w:szCs w:val="20"/>
                <w:lang w:eastAsia="en-US" w:bidi="ar-SA"/>
              </w:rPr>
              <w:t>Accompanying files:</w:t>
            </w:r>
          </w:p>
        </w:tc>
      </w:tr>
      <w:tr>
        <w:trPr>
          <w:trHeight w:val="73" w:hRule="atLeast"/>
        </w:trPr>
        <w:tc>
          <w:tcPr>
            <w:tcW w:w="2260" w:type="dxa"/>
            <w:tcBorders/>
          </w:tcPr>
          <w:p>
            <w:pPr>
              <w:pStyle w:val="Normal"/>
              <w:widowControl/>
              <w:suppressAutoHyphens w:val="true"/>
              <w:spacing w:before="0" w:after="0"/>
              <w:jc w:val="left"/>
              <w:rPr>
                <w:rFonts w:ascii="Aptos" w:hAnsi="Aptos" w:cs="Arial"/>
                <w:b/>
                <w:sz w:val="20"/>
                <w:szCs w:val="20"/>
              </w:rPr>
            </w:pPr>
            <w:r>
              <w:rPr>
                <w:rFonts w:cs="Arial" w:ascii="Aptos" w:hAnsi="Aptos"/>
                <w:b/>
                <w:kern w:val="0"/>
                <w:sz w:val="20"/>
                <w:szCs w:val="20"/>
                <w:lang w:eastAsia="en-US" w:bidi="ar-SA"/>
              </w:rPr>
              <w:t>Filename</w:t>
            </w:r>
          </w:p>
        </w:tc>
        <w:tc>
          <w:tcPr>
            <w:tcW w:w="6665" w:type="dxa"/>
            <w:tcBorders/>
          </w:tcPr>
          <w:p>
            <w:pPr>
              <w:pStyle w:val="Normal"/>
              <w:widowControl/>
              <w:suppressAutoHyphens w:val="true"/>
              <w:spacing w:before="0" w:after="0"/>
              <w:jc w:val="left"/>
              <w:rPr>
                <w:rFonts w:ascii="Aptos" w:hAnsi="Aptos" w:cs="Arial"/>
                <w:b/>
                <w:sz w:val="20"/>
                <w:szCs w:val="20"/>
              </w:rPr>
            </w:pPr>
            <w:r>
              <w:rPr>
                <w:rFonts w:cs="Arial" w:ascii="Aptos" w:hAnsi="Aptos"/>
                <w:b/>
                <w:kern w:val="0"/>
                <w:sz w:val="20"/>
                <w:szCs w:val="20"/>
                <w:lang w:eastAsia="en-US" w:bidi="ar-SA"/>
              </w:rPr>
              <w:t>Description of contents</w:t>
            </w:r>
          </w:p>
        </w:tc>
      </w:tr>
      <w:tr>
        <w:trPr>
          <w:trHeight w:val="71" w:hRule="atLeast"/>
        </w:trPr>
        <w:tc>
          <w:tcPr>
            <w:tcW w:w="2260" w:type="dxa"/>
            <w:tcBorders/>
          </w:tcPr>
          <w:p>
            <w:pPr>
              <w:pStyle w:val="Normal"/>
              <w:widowControl/>
              <w:suppressAutoHyphens w:val="true"/>
              <w:spacing w:before="0" w:after="0"/>
              <w:jc w:val="left"/>
              <w:rPr>
                <w:rFonts w:ascii="Aptos Narrow" w:hAnsi="Aptos Narrow"/>
                <w:color w:val="000000"/>
                <w:sz w:val="20"/>
                <w:szCs w:val="20"/>
                <w:lang w:val="en-GB"/>
              </w:rPr>
            </w:pPr>
            <w:r>
              <w:rPr>
                <w:rFonts w:ascii="Aptos Narrow" w:hAnsi="Aptos Narrow"/>
                <w:color w:val="000000"/>
                <w:kern w:val="0"/>
                <w:sz w:val="20"/>
                <w:szCs w:val="20"/>
                <w:lang w:eastAsia="en-US" w:bidi="ar-SA"/>
              </w:rPr>
              <w:t>Microviricetes.pdf</w:t>
            </w:r>
          </w:p>
        </w:tc>
        <w:tc>
          <w:tcPr>
            <w:tcW w:w="6665" w:type="dxa"/>
            <w:tcBorders/>
          </w:tcPr>
          <w:p>
            <w:pPr>
              <w:pStyle w:val="Normal"/>
              <w:widowControl/>
              <w:suppressAutoHyphens w:val="true"/>
              <w:spacing w:before="0" w:after="0"/>
              <w:jc w:val="left"/>
              <w:rPr>
                <w:rFonts w:ascii="Aptos" w:hAnsi="Aptos" w:cs="Arial"/>
                <w:b/>
                <w:sz w:val="20"/>
                <w:szCs w:val="20"/>
              </w:rPr>
            </w:pPr>
            <w:r>
              <w:rPr>
                <w:rFonts w:cs="Arial" w:ascii="Aptos" w:hAnsi="Aptos"/>
                <w:b/>
                <w:sz w:val="20"/>
                <w:szCs w:val="20"/>
              </w:rPr>
            </w:r>
          </w:p>
        </w:tc>
      </w:tr>
      <w:tr>
        <w:trPr>
          <w:trHeight w:val="71" w:hRule="atLeast"/>
        </w:trPr>
        <w:tc>
          <w:tcPr>
            <w:tcW w:w="2260" w:type="dxa"/>
            <w:tcBorders/>
          </w:tcPr>
          <w:p>
            <w:pPr>
              <w:pStyle w:val="Normal"/>
              <w:widowControl/>
              <w:suppressAutoHyphens w:val="true"/>
              <w:spacing w:before="0" w:after="0"/>
              <w:jc w:val="left"/>
              <w:rPr>
                <w:rFonts w:ascii="Aptos" w:hAnsi="Aptos" w:cs="Arial"/>
                <w:b/>
                <w:sz w:val="20"/>
                <w:szCs w:val="20"/>
              </w:rPr>
            </w:pPr>
            <w:r>
              <w:rPr>
                <w:rFonts w:cs="Arial" w:ascii="Aptos" w:hAnsi="Aptos"/>
                <w:b/>
                <w:sz w:val="20"/>
                <w:szCs w:val="20"/>
              </w:rPr>
            </w:r>
          </w:p>
        </w:tc>
        <w:tc>
          <w:tcPr>
            <w:tcW w:w="6665" w:type="dxa"/>
            <w:tcBorders/>
          </w:tcPr>
          <w:p>
            <w:pPr>
              <w:pStyle w:val="Normal"/>
              <w:widowControl/>
              <w:suppressAutoHyphens w:val="true"/>
              <w:spacing w:before="0" w:after="0"/>
              <w:jc w:val="left"/>
              <w:rPr>
                <w:rFonts w:ascii="Aptos" w:hAnsi="Aptos" w:cs="Arial"/>
                <w:b/>
                <w:sz w:val="20"/>
                <w:szCs w:val="20"/>
              </w:rPr>
            </w:pPr>
            <w:r>
              <w:rPr>
                <w:rFonts w:cs="Arial" w:ascii="Aptos" w:hAnsi="Aptos"/>
                <w:b/>
                <w:sz w:val="20"/>
                <w:szCs w:val="20"/>
              </w:rPr>
            </w:r>
          </w:p>
        </w:tc>
      </w:tr>
    </w:tbl>
    <w:p>
      <w:pPr>
        <w:pStyle w:val="Normal"/>
        <w:rPr/>
      </w:pPr>
      <w:r>
        <w:rPr/>
      </w:r>
    </w:p>
    <w:tbl>
      <w:tblPr>
        <w:tblStyle w:val="TableGrid"/>
        <w:tblW w:w="8926" w:type="dxa"/>
        <w:jc w:val="left"/>
        <w:tblInd w:w="113" w:type="dxa"/>
        <w:tblLayout w:type="fixed"/>
        <w:tblCellMar>
          <w:top w:w="0" w:type="dxa"/>
          <w:left w:w="108" w:type="dxa"/>
          <w:bottom w:w="0" w:type="dxa"/>
          <w:right w:w="108" w:type="dxa"/>
        </w:tblCellMar>
        <w:tblLook w:val="04a0" w:noHBand="0" w:noVBand="1" w:firstColumn="1" w:lastRow="0" w:lastColumn="0" w:firstRow="1"/>
      </w:tblPr>
      <w:tblGrid>
        <w:gridCol w:w="8926"/>
      </w:tblGrid>
      <w:tr>
        <w:trPr/>
        <w:tc>
          <w:tcPr>
            <w:tcW w:w="8926" w:type="dxa"/>
            <w:tcBorders/>
            <w:shd w:color="auto" w:fill="F2F2F2" w:themeFill="background1" w:themeFillShade="f2" w:val="clear"/>
          </w:tcPr>
          <w:p>
            <w:pPr>
              <w:pStyle w:val="BodyTextIndent"/>
              <w:widowControl/>
              <w:suppressAutoHyphens w:val="true"/>
              <w:spacing w:before="0" w:after="0"/>
              <w:ind w:hanging="0" w:left="0"/>
              <w:jc w:val="left"/>
              <w:rPr>
                <w:rFonts w:ascii="Aptos" w:hAnsi="Aptos"/>
                <w:color w:val="0070C0"/>
                <w:sz w:val="20"/>
              </w:rPr>
            </w:pPr>
            <w:r>
              <w:rPr>
                <w:rFonts w:cs="Arial" w:ascii="Aptos" w:hAnsi="Aptos"/>
                <w:b/>
                <w:iCs/>
                <w:kern w:val="0"/>
                <w:sz w:val="20"/>
                <w:lang w:bidi="ar-SA"/>
              </w:rPr>
              <w:t>Tables, Figures:</w:t>
            </w:r>
          </w:p>
        </w:tc>
      </w:tr>
    </w:tbl>
    <w:p>
      <w:pPr>
        <w:pStyle w:val="Normal"/>
        <w:jc w:val="both"/>
        <w:rPr>
          <w:rFonts w:ascii="Aptos" w:hAnsi="Aptos"/>
          <w:color w:val="000000"/>
          <w:sz w:val="20"/>
          <w:szCs w:val="20"/>
        </w:rPr>
      </w:pPr>
      <w:bookmarkStart w:id="6" w:name="docs-internal-guid-cc34191c-7fff-5466-46"/>
      <w:bookmarkEnd w:id="6"/>
      <w:r>
        <w:drawing>
          <wp:anchor behindDoc="0" distT="0" distB="0" distL="0" distR="0" simplePos="0" locked="0" layoutInCell="0" allowOverlap="1" relativeHeight="28">
            <wp:simplePos x="0" y="0"/>
            <wp:positionH relativeFrom="column">
              <wp:align>center</wp:align>
            </wp:positionH>
            <wp:positionV relativeFrom="paragraph">
              <wp:posOffset>635</wp:posOffset>
            </wp:positionV>
            <wp:extent cx="5926455" cy="7789545"/>
            <wp:effectExtent l="0" t="0" r="0" b="0"/>
            <wp:wrapSquare wrapText="largest"/>
            <wp:docPr id="2"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 descr=""/>
                    <pic:cNvPicPr>
                      <a:picLocks noChangeAspect="1" noChangeArrowheads="1"/>
                    </pic:cNvPicPr>
                  </pic:nvPicPr>
                  <pic:blipFill>
                    <a:blip r:embed="rId6"/>
                    <a:stretch>
                      <a:fillRect/>
                    </a:stretch>
                  </pic:blipFill>
                  <pic:spPr bwMode="auto">
                    <a:xfrm>
                      <a:off x="0" y="0"/>
                      <a:ext cx="5926455" cy="7789545"/>
                    </a:xfrm>
                    <a:prstGeom prst="rect">
                      <a:avLst/>
                    </a:prstGeom>
                  </pic:spPr>
                </pic:pic>
              </a:graphicData>
            </a:graphic>
          </wp:anchor>
        </w:drawing>
      </w:r>
      <w:r>
        <w:rPr>
          <w:rFonts w:ascii="Aptos" w:hAnsi="Aptos"/>
          <w:color w:val="000000"/>
          <w:sz w:val="20"/>
          <w:szCs w:val="20"/>
        </w:rPr>
        <w:t>Figure 1 : Phylogeny of the capsid protein for one representative for all genera proposed here. All proposed orders and families here displayed. Multiple sequence alignment was produced by MAFFT, trimmed with Trimal (-gappyout option) and used to generate the Maximum likelihood phylogenetic tree using iqtree2 with the best model selection (with the option -alrt 1000). Branches supported by SH-aLRT&gt;90 are indicated by circles. The same approach was used for generating phylogenies shown in all other figures.</w:t>
      </w:r>
    </w:p>
    <w:p>
      <w:pPr>
        <w:pStyle w:val="Normal"/>
        <w:rPr/>
      </w:pPr>
      <w:r>
        <w:rPr>
          <w:rFonts w:cs="Arial" w:ascii="Aptos" w:hAnsi="Aptos"/>
          <w:sz w:val="20"/>
          <w:szCs w:val="20"/>
        </w:rPr>
        <w:t xml:space="preserve">Table 1: Summary of the viruses classified in the order </w:t>
      </w:r>
      <w:r>
        <w:rPr>
          <w:rFonts w:cs="Arial" w:ascii="Aptos" w:hAnsi="Aptos"/>
          <w:i/>
          <w:iCs/>
          <w:sz w:val="20"/>
          <w:szCs w:val="20"/>
        </w:rPr>
        <w:t>Microviricetes</w:t>
      </w:r>
    </w:p>
    <w:tbl>
      <w:tblPr>
        <w:tblW w:w="9360" w:type="dxa"/>
        <w:jc w:val="left"/>
        <w:tblInd w:w="109" w:type="dxa"/>
        <w:tblLayout w:type="fixed"/>
        <w:tblCellMar>
          <w:top w:w="0" w:type="dxa"/>
          <w:left w:w="108" w:type="dxa"/>
          <w:bottom w:w="0" w:type="dxa"/>
          <w:right w:w="108" w:type="dxa"/>
        </w:tblCellMar>
        <w:tblLook w:val="04a0" w:noHBand="0" w:noVBand="1" w:firstColumn="1" w:lastRow="0" w:lastColumn="0" w:firstRow="1"/>
      </w:tblPr>
      <w:tblGrid>
        <w:gridCol w:w="1082"/>
        <w:gridCol w:w="1398"/>
        <w:gridCol w:w="1597"/>
        <w:gridCol w:w="1714"/>
        <w:gridCol w:w="2401"/>
        <w:gridCol w:w="1167"/>
      </w:tblGrid>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b/>
                <w:bCs/>
                <w:color w:val="000000"/>
                <w:sz w:val="16"/>
                <w:szCs w:val="16"/>
              </w:rPr>
            </w:pPr>
            <w:r>
              <w:rPr>
                <w:rFonts w:ascii="Arial Narrow" w:hAnsi="Arial Narrow"/>
                <w:b/>
                <w:bCs/>
                <w:color w:val="000000"/>
                <w:sz w:val="16"/>
                <w:szCs w:val="16"/>
              </w:rPr>
              <w:t>class</w:t>
            </w:r>
          </w:p>
        </w:tc>
        <w:tc>
          <w:tcPr>
            <w:tcW w:w="1398" w:type="dxa"/>
            <w:tcBorders>
              <w:top w:val="single" w:sz="4" w:space="0" w:color="000000"/>
              <w:bottom w:val="single" w:sz="4" w:space="0" w:color="000000"/>
            </w:tcBorders>
            <w:vAlign w:val="bottom"/>
          </w:tcPr>
          <w:p>
            <w:pPr>
              <w:pStyle w:val="Normal"/>
              <w:rPr>
                <w:rFonts w:ascii="Arial Narrow" w:hAnsi="Arial Narrow"/>
                <w:b/>
                <w:bCs/>
                <w:color w:val="000000"/>
                <w:sz w:val="16"/>
                <w:szCs w:val="16"/>
              </w:rPr>
            </w:pPr>
            <w:r>
              <w:rPr>
                <w:rFonts w:ascii="Arial Narrow" w:hAnsi="Arial Narrow"/>
                <w:b/>
                <w:bCs/>
                <w:color w:val="000000"/>
                <w:sz w:val="16"/>
                <w:szCs w:val="16"/>
              </w:rPr>
              <w:t>order</w:t>
            </w:r>
          </w:p>
        </w:tc>
        <w:tc>
          <w:tcPr>
            <w:tcW w:w="1597" w:type="dxa"/>
            <w:tcBorders>
              <w:top w:val="single" w:sz="4" w:space="0" w:color="000000"/>
              <w:bottom w:val="single" w:sz="4" w:space="0" w:color="000000"/>
            </w:tcBorders>
            <w:vAlign w:val="bottom"/>
          </w:tcPr>
          <w:p>
            <w:pPr>
              <w:pStyle w:val="Normal"/>
              <w:rPr>
                <w:rFonts w:ascii="Arial Narrow" w:hAnsi="Arial Narrow"/>
                <w:b/>
                <w:bCs/>
                <w:color w:val="000000"/>
                <w:sz w:val="16"/>
                <w:szCs w:val="16"/>
              </w:rPr>
            </w:pPr>
            <w:r>
              <w:rPr>
                <w:rFonts w:ascii="Arial Narrow" w:hAnsi="Arial Narrow"/>
                <w:b/>
                <w:bCs/>
                <w:color w:val="000000"/>
                <w:sz w:val="16"/>
                <w:szCs w:val="16"/>
              </w:rPr>
              <w:t>family</w:t>
            </w:r>
          </w:p>
        </w:tc>
        <w:tc>
          <w:tcPr>
            <w:tcW w:w="1714" w:type="dxa"/>
            <w:tcBorders>
              <w:top w:val="single" w:sz="4" w:space="0" w:color="000000"/>
              <w:bottom w:val="single" w:sz="4" w:space="0" w:color="000000"/>
            </w:tcBorders>
            <w:vAlign w:val="bottom"/>
          </w:tcPr>
          <w:p>
            <w:pPr>
              <w:pStyle w:val="Normal"/>
              <w:rPr>
                <w:rFonts w:ascii="Arial Narrow" w:hAnsi="Arial Narrow"/>
                <w:b/>
                <w:bCs/>
                <w:color w:val="000000"/>
                <w:sz w:val="16"/>
                <w:szCs w:val="16"/>
              </w:rPr>
            </w:pPr>
            <w:r>
              <w:rPr>
                <w:rFonts w:ascii="Arial Narrow" w:hAnsi="Arial Narrow"/>
                <w:b/>
                <w:bCs/>
                <w:color w:val="000000"/>
                <w:sz w:val="16"/>
                <w:szCs w:val="16"/>
              </w:rPr>
              <w:t>genus</w:t>
            </w:r>
          </w:p>
        </w:tc>
        <w:tc>
          <w:tcPr>
            <w:tcW w:w="2401" w:type="dxa"/>
            <w:tcBorders>
              <w:top w:val="single" w:sz="4" w:space="0" w:color="000000"/>
              <w:bottom w:val="single" w:sz="4" w:space="0" w:color="000000"/>
            </w:tcBorders>
            <w:vAlign w:val="bottom"/>
          </w:tcPr>
          <w:p>
            <w:pPr>
              <w:pStyle w:val="Normal"/>
              <w:rPr>
                <w:rFonts w:ascii="Arial Narrow" w:hAnsi="Arial Narrow"/>
                <w:b/>
                <w:bCs/>
                <w:color w:val="000000"/>
                <w:sz w:val="16"/>
                <w:szCs w:val="16"/>
              </w:rPr>
            </w:pPr>
            <w:r>
              <w:rPr>
                <w:rFonts w:ascii="Arial Narrow" w:hAnsi="Arial Narrow"/>
                <w:b/>
                <w:bCs/>
                <w:color w:val="000000"/>
                <w:sz w:val="16"/>
                <w:szCs w:val="16"/>
              </w:rPr>
              <w:t>species</w:t>
            </w:r>
          </w:p>
        </w:tc>
        <w:tc>
          <w:tcPr>
            <w:tcW w:w="1167" w:type="dxa"/>
            <w:tcBorders>
              <w:top w:val="single" w:sz="4" w:space="0" w:color="000000"/>
              <w:bottom w:val="single" w:sz="4" w:space="0" w:color="000000"/>
            </w:tcBorders>
            <w:vAlign w:val="bottom"/>
          </w:tcPr>
          <w:p>
            <w:pPr>
              <w:pStyle w:val="Normal"/>
              <w:rPr>
                <w:rFonts w:ascii="Arial Narrow" w:hAnsi="Arial Narrow"/>
                <w:b/>
                <w:bCs/>
                <w:color w:val="000000"/>
                <w:sz w:val="16"/>
                <w:szCs w:val="16"/>
              </w:rPr>
            </w:pPr>
            <w:r>
              <w:rPr>
                <w:rFonts w:ascii="Arial Narrow" w:hAnsi="Arial Narrow"/>
                <w:b/>
                <w:bCs/>
                <w:color w:val="000000"/>
                <w:sz w:val="16"/>
                <w:szCs w:val="16"/>
              </w:rPr>
              <w:t>Representative genome accession</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Lilleviridae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Algophervirus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Algophervirus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MK765557</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Lilleviridae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Alnafnavirus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Alnafnavirus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MG945680</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Lilleviridae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Alnifnivirus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Alnifnivirus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MG945509</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Litenviridae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Alcanfavirus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Alcanfavirus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MG945253</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Litenviridae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Alcanivirus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Alcanivirus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MG945572</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Litenviridae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Algomorvirus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Algomorvirus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MK765608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Litenviridae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Algopmovirus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Algopmovirus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MK765590</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Litenviridae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Alimacvirus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Alimacvirus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MH617173</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Litenviridae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Almumusvirus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Almumusvirus tissus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MH552557</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Litenviridae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Alnoufnouvirus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Alnoufnouvirus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MG945831</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Litenviridae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Alpecorivirus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Alpecorivirus sanguineae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MG945638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Litilviridae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Alcafavirus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Alcafavirus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MG945515</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Litilviridae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Alciorovirus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Alciorovirus intestinalis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MH572526</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Litilviridae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Alcryvirus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Alcryvirus antarcticaense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MN311493</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Litilviridae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Alhyhydvirus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Alhyhydvirus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MK496694</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Litilviridae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Alpaglavirus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Alpaglavirus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MG945641</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Pieniviridae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Alepusivirus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Alepusivirus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MG641188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Pieniviridae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Almusivirus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Almusivirus animavivens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MH552492</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Pieniviridae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Alpecusivirus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Alpecusivirus jiangsuense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MG945493</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Pieniviridae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Alydrochavirus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Alydrochavirus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MK496690</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Pikkuviridae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Alcapybaravirus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Alcapybaravirus parvus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MK496680</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Pikkuviridae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Almacaqusvirus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Almacaqusvirus entericus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MH617318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Pikkuviridae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Almaoniuvirus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Almaoniuvirus tibetanicus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MG945791</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Pikkuviridae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Almiluvirus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Almiluvirus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MG945750</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Pikkuviridae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Alpacinvirus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Alpacinvirus sinensis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KX513871</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Pikkuviridae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Alzhudosvirus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Alzhudosvirus choerus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MG945356</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Pikkuviridae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Alzhuvirus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Alzhuvirus porcinus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MG945352</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Amoyvirales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Liberviridae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Largivirus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Largivirus asiaticus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CP045566</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Amoyvirales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Mazaviridae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Aminivirus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Aminivirus ruegeriae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MF101922</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Amoyvirales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Mazaviridae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Avacavirus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Avacavirus tissus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MH617327</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Amoyvirales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Mazaviridae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Minimarinivirus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Minimarinivirus citromicrobii</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MG214764</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Amoyvirales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Mazaviridae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Piticivirus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Piticivirus americanense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MN988485</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Amoyvirales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Mazaviridae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Sonoravirus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Sonoravirus desertense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MK765605</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 alpha3</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DQ085810</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 ID21</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DQ079870</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 ID32</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DQ079871</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 ID62</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DQ079876</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 NC28</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DQ079875</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 NC29</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DQ079879</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 NC35</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DQ079872</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 phiK</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X60323</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 St1</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GQ149088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Alphatrevirus WA45</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DQ079874</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Gequatrovirus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Gequatrovirus G4</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V00657</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Gequatrovirus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Gequatrovirus ID52</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DQ079877</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Gequatrovirus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themeColor="text1" w:val="000000"/>
                <w:sz w:val="16"/>
                <w:szCs w:val="16"/>
              </w:rPr>
              <w:t>Gequatrovirus talmos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DQ079869</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Sinsheimervirus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Sinsheimervirus phiX174</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EF380011</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Eubullaviridae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Vimicrovirus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Vimicrovirus vibrionis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OK338687</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Pequenoviridae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Pseudophixvirus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Pseudophixvirus profundis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KP087950</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Piccoloviridae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Paraphixvirus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Paraphixvirus bathycus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KP087951</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Bullavirales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Piticuviridae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Periphixvirus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Periphixvirus piscinus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MH649026</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Gokucipiengivirus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Gokucipiengivirus nigerianus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KR704914</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Gokugallopavovirus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Gokugallopavovirus exiguus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HQ264138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Gokumacromysvirus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Gokumacromysvirus microtus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MK496788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Gokumagnusmusvirus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Gokumagnusmusvirus minimus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MK496798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Huficovirus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Huficovirus zhenjiangense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KT264798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Khonivirus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Khonivirus shangense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MG945447</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Alphagokushoviridae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Spiromicrovirus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Spiromicrovirus SpV4</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M17988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Bdellomicrovirus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Bdellomicrovirus MH2K</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AY769964</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Chlamydiaduovirus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Chlamydiaduovirus Chp2</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AJ270057</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Chlamydiaduovirus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Chlamydiaduovirus CPAR39</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AE002163</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Chlamydiaduovirus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Chlamydiaduovirus CPG1</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U41758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Chlamydiaunovirus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Chlamydiaunovirus Chp1</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D00624</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Cionrobuvirus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Cionrobuvirus intraciae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MH572434</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Crownevirus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Crownevirus crochiae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KT264811</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Cypriminnovirus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Cypriminnovirus animagenonis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MH617083</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Eelrivirus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Eelrivirus metsediae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KP087945</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Enterogokushovirus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Enterogokushovirus EC6098</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MT185428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Hulichivirus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Hulichivirus shiae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KT264825</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Leuciminnovirus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Leuciminnovirus minnonis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MH617516</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Mellcarnivirus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Mellcarnivirus hemonis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MH992155</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Melllinguisvirus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Melllinguisvirus molysis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MH992218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Minnosuevirus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Minnosuevirus metae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MH616976</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Minnowtisvirus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Minnowtisvirus animetae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MH616867</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Minsuevirus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Minsuevirus tissus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MH617722</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Paruchinvirus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Paruchinvirus fabiaonis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MG945835</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Renleivirus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Renleivirus checis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KT264818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Saanivirus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Saanivirus lacunae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KC131022</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Sahondenvirus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Sahondenvirus ancense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KM589502</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Picho</w:t>
            </w:r>
            <w:r>
              <w:rPr>
                <w:rFonts w:ascii="Arial Narrow" w:hAnsi="Arial Narrow"/>
                <w:i/>
                <w:iCs/>
                <w:color w:val="000000"/>
                <w:sz w:val="16"/>
                <w:szCs w:val="16"/>
              </w:rPr>
              <w:t>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Sbenevirus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Sbenevirus ronchense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KM589505</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Picho</w:t>
            </w:r>
            <w:r>
              <w:rPr>
                <w:rFonts w:ascii="Arial Narrow" w:hAnsi="Arial Narrow"/>
                <w:i/>
                <w:iCs/>
                <w:color w:val="000000"/>
                <w:sz w:val="16"/>
                <w:szCs w:val="16"/>
              </w:rPr>
              <w:t>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Shuntenvirus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Shuntenvirus chomettense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KM589509</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Sontinvirus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Sontinvirus epinatense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KM589508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Sphagnuvirus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Sphagnuvirus macicentrae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KM589498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Picho</w:t>
            </w:r>
            <w:r>
              <w:rPr>
                <w:rFonts w:ascii="Arial Narrow" w:hAnsi="Arial Narrow"/>
                <w:i/>
                <w:iCs/>
                <w:color w:val="000000"/>
                <w:sz w:val="16"/>
                <w:szCs w:val="16"/>
              </w:rPr>
              <w:t>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Sphignavirus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Sphignavirus magoutense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KM589503</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Storgivirus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Storgivirus baiae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KC131024</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Wastmicvirus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Wastmicvirus thoreclae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KX259466</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Betagokushoviridae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Wiyavirus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Wiyavirus colsediae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KP087939</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Groupodiviridae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Mohgevirus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Mohgevirus testudinis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MK765653</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Groupodiviridae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Sehtuvirus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Sehtuvirus meseepiae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KP087956</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Groupodiviridae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Tramlacvirus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Tramlacvirus saintpetis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JX185431</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Pacdirvirus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Pacdirvirus facealis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KM589515</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Piapivirus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Piapivirus hemonis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MH992186</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Picaglacivirus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Picaglacivirus Antarcticense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MN311489</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Picionavirus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Picionavirus intestinalis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MH572367</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Piciorovirus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Piciorovirus intestinalis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MH572522</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Picominovirus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Picominovirus tissus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MH617110</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Picryovirus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Picryovirus Antarcticense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MN311487</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Piglaglavirus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Piglaglavirus Antarcticense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MN311488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Pigophevirus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Pigophevirus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MK765643</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Pimethasivirus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Pimethasivirus fortunaense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KP087937</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Sahondevirus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Sahondevirus altiligeriense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KM589500</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Sphegnavirus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Sphegnavirus ronelense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KM589507</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Pichoviridae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Sphinavirus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Sphinavirus crozetense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KM589506</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Sukshmaviridae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Subabevirus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Subabevirus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MG945316</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Sukshmaviridae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Subethovenvirus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Subethovenvirus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MG945562</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Sukshmaviridae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Sucapyvirus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Sucapyvirus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MK496748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Sukshmaviridae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Sutorvirus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Sutorvirus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MK765576</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Gokushovirales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Sukshmaviridae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Suydrochavirus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Suydrochavirus faecalis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MK496708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Reekeekeevirales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Osikeviridae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Nanosedivirus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Nanosedivirus sydnense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BK061430</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Reekeekeevirales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Osikeviridae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Vastaquavirus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Vastaquavirus cincinatense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BK061429</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Reekeekeevirales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Osikeviridae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Vastumavirus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Vastumavirus cincinatense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BK061428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Roodoodoovirales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Kidogoviridae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Rofluviavirus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Rofluviavirus milanense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BK061423</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Roodoodoovirales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Kidogoviridae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Romarinivirus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Romarinivirus longbichense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BK061422</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Roodoodoovirales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Kidogoviridae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Rominovirus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Rominovirus tissus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MH617313</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Roodoodoovirales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Kidogoviridae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Roporiferavirus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Roporiferavirus australense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BK061421</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Roodoodoovirales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Kidogoviridae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Rosaltivirus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Rosaltivirus savanense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BK061419</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Chaparrovirus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Chaparrovirus phaseoli</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MN988464</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Chaparrovirus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Chaparrovirus rhizobi</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MN988477</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Chaparrovirus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Chaparrovirus tepoztlanense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MN988476</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Cumcionavirus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Cumcionavirus ventris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MH572519</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Faseolivirus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Faseolivirus fabavivens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MW960035</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Faseolivirus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Faseolivirus mexicanense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MN988460</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Microsonovirus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Microsonovirus testudinis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MK765623</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Oceanivirus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Oceanivirus unius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PP558219</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Petitsonovirus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Petitsonovirus testudinis</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MK765628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Planktonivirus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Planktonivirus quarti</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PP558217</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Chicoviridae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Seavirus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Seavirus roseobacteriae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PP558214</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Occultatumviridae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Micisonovirus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Micisonovirus desertense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MK765588</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Tainaviridae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Ascunsovirus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Ascunsovirus oldenburgi</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OM782324</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Tainaviridae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Circularivirus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Circularivirus animaliense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MH617319</w:t>
            </w:r>
          </w:p>
        </w:tc>
      </w:tr>
      <w:tr>
        <w:trPr>
          <w:trHeight w:val="144" w:hRule="atLeast"/>
        </w:trPr>
        <w:tc>
          <w:tcPr>
            <w:tcW w:w="1082"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Microviricetes</w:t>
            </w:r>
          </w:p>
        </w:tc>
        <w:tc>
          <w:tcPr>
            <w:tcW w:w="1398"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Secretvirales</w:t>
            </w:r>
          </w:p>
        </w:tc>
        <w:tc>
          <w:tcPr>
            <w:tcW w:w="1597"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Tainaviridae</w:t>
            </w:r>
          </w:p>
        </w:tc>
        <w:tc>
          <w:tcPr>
            <w:tcW w:w="1714"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Pentonivirus</w:t>
            </w:r>
          </w:p>
        </w:tc>
        <w:tc>
          <w:tcPr>
            <w:tcW w:w="2401" w:type="dxa"/>
            <w:tcBorders>
              <w:top w:val="single" w:sz="4" w:space="0" w:color="000000"/>
              <w:bottom w:val="single" w:sz="4" w:space="0" w:color="000000"/>
            </w:tcBorders>
            <w:vAlign w:val="bottom"/>
          </w:tcPr>
          <w:p>
            <w:pPr>
              <w:pStyle w:val="Normal"/>
              <w:rPr>
                <w:rFonts w:ascii="Arial Narrow" w:hAnsi="Arial Narrow"/>
                <w:i/>
                <w:i/>
                <w:iCs/>
                <w:color w:val="000000"/>
                <w:sz w:val="16"/>
                <w:szCs w:val="16"/>
              </w:rPr>
            </w:pPr>
            <w:r>
              <w:rPr>
                <w:rFonts w:ascii="Arial Narrow" w:hAnsi="Arial Narrow"/>
                <w:i/>
                <w:iCs/>
                <w:color w:val="000000"/>
                <w:sz w:val="16"/>
                <w:szCs w:val="16"/>
              </w:rPr>
              <w:t>Pentonivirus florentiae</w:t>
            </w:r>
          </w:p>
        </w:tc>
        <w:tc>
          <w:tcPr>
            <w:tcW w:w="1167" w:type="dxa"/>
            <w:tcBorders>
              <w:top w:val="single" w:sz="4" w:space="0" w:color="000000"/>
              <w:bottom w:val="single" w:sz="4" w:space="0" w:color="000000"/>
            </w:tcBorders>
            <w:vAlign w:val="bottom"/>
          </w:tcPr>
          <w:p>
            <w:pPr>
              <w:pStyle w:val="Normal"/>
              <w:rPr>
                <w:rFonts w:ascii="Arial Narrow" w:hAnsi="Arial Narrow"/>
                <w:color w:val="000000"/>
                <w:sz w:val="16"/>
                <w:szCs w:val="16"/>
              </w:rPr>
            </w:pPr>
            <w:r>
              <w:rPr>
                <w:rFonts w:ascii="Arial Narrow" w:hAnsi="Arial Narrow"/>
                <w:color w:val="000000"/>
                <w:sz w:val="16"/>
                <w:szCs w:val="16"/>
              </w:rPr>
              <w:t>PP754850</w:t>
            </w:r>
          </w:p>
        </w:tc>
      </w:tr>
    </w:tbl>
    <w:p>
      <w:pPr>
        <w:pStyle w:val="Normal"/>
        <w:rPr>
          <w:rFonts w:ascii="Aptos" w:hAnsi="Aptos"/>
          <w:color w:val="BF360C"/>
        </w:rPr>
      </w:pPr>
      <w:r>
        <w:rPr>
          <w:rFonts w:ascii="Aptos" w:hAnsi="Aptos"/>
          <w:color w:val="BF360C"/>
        </w:rPr>
        <w:drawing>
          <wp:anchor behindDoc="0" distT="0" distB="0" distL="0" distR="0" simplePos="0" locked="0" layoutInCell="0" allowOverlap="1" relativeHeight="29">
            <wp:simplePos x="0" y="0"/>
            <wp:positionH relativeFrom="column">
              <wp:align>center</wp:align>
            </wp:positionH>
            <wp:positionV relativeFrom="paragraph">
              <wp:posOffset>635</wp:posOffset>
            </wp:positionV>
            <wp:extent cx="5926455" cy="4135120"/>
            <wp:effectExtent l="0" t="0" r="0" b="0"/>
            <wp:wrapSquare wrapText="largest"/>
            <wp:docPr id="3"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descr=""/>
                    <pic:cNvPicPr>
                      <a:picLocks noChangeAspect="1" noChangeArrowheads="1"/>
                    </pic:cNvPicPr>
                  </pic:nvPicPr>
                  <pic:blipFill>
                    <a:blip r:embed="rId7"/>
                    <a:stretch>
                      <a:fillRect/>
                    </a:stretch>
                  </pic:blipFill>
                  <pic:spPr bwMode="auto">
                    <a:xfrm>
                      <a:off x="0" y="0"/>
                      <a:ext cx="5926455" cy="4135120"/>
                    </a:xfrm>
                    <a:prstGeom prst="rect">
                      <a:avLst/>
                    </a:prstGeom>
                  </pic:spPr>
                </pic:pic>
              </a:graphicData>
            </a:graphic>
          </wp:anchor>
        </w:drawing>
      </w:r>
    </w:p>
    <w:p>
      <w:pPr>
        <w:pStyle w:val="Normal"/>
        <w:jc w:val="both"/>
        <w:rPr>
          <w:rFonts w:ascii="Aptos" w:hAnsi="Aptos"/>
          <w:color w:val="000000"/>
          <w:sz w:val="20"/>
          <w:szCs w:val="20"/>
        </w:rPr>
      </w:pPr>
      <w:r>
        <w:rPr>
          <w:rFonts w:ascii="Aptos" w:hAnsi="Aptos"/>
          <w:color w:val="000000"/>
          <w:sz w:val="20"/>
          <w:szCs w:val="20"/>
        </w:rPr>
        <w:t>Figure 2 : Phylogeny of the major capsid protein sequences of “</w:t>
      </w:r>
      <w:r>
        <w:rPr>
          <w:rFonts w:ascii="Aptos" w:hAnsi="Aptos"/>
          <w:i/>
          <w:color w:val="000000"/>
          <w:sz w:val="20"/>
          <w:szCs w:val="20"/>
        </w:rPr>
        <w:t>Secretvirales</w:t>
      </w:r>
      <w:r>
        <w:rPr>
          <w:rFonts w:ascii="Aptos" w:hAnsi="Aptos"/>
          <w:color w:val="000000"/>
          <w:sz w:val="20"/>
          <w:szCs w:val="20"/>
        </w:rPr>
        <w:t>”, using new references and additional complete genomes retrieved in GenBank. The “</w:t>
      </w:r>
      <w:r>
        <w:rPr>
          <w:rFonts w:ascii="Aptos" w:hAnsi="Aptos"/>
          <w:i/>
          <w:color w:val="000000"/>
          <w:sz w:val="20"/>
          <w:szCs w:val="20"/>
        </w:rPr>
        <w:t>Secretvirales</w:t>
      </w:r>
      <w:r>
        <w:rPr>
          <w:rFonts w:ascii="Aptos" w:hAnsi="Aptos"/>
          <w:color w:val="000000"/>
          <w:sz w:val="20"/>
          <w:szCs w:val="20"/>
        </w:rPr>
        <w:t>” order includes three families. The tree was rooted with sequences from “</w:t>
      </w:r>
      <w:r>
        <w:rPr>
          <w:rFonts w:ascii="Aptos" w:hAnsi="Aptos"/>
          <w:i/>
          <w:color w:val="000000"/>
          <w:sz w:val="20"/>
          <w:szCs w:val="20"/>
        </w:rPr>
        <w:t>Alpavirales</w:t>
      </w:r>
      <w:r>
        <w:rPr>
          <w:rFonts w:ascii="Aptos" w:hAnsi="Aptos"/>
          <w:color w:val="000000"/>
          <w:sz w:val="20"/>
          <w:szCs w:val="20"/>
        </w:rPr>
        <w:t>”.</w:t>
      </w:r>
    </w:p>
    <w:p>
      <w:pPr>
        <w:pStyle w:val="Normal"/>
        <w:jc w:val="both"/>
        <w:rPr/>
      </w:pPr>
      <w:r>
        <w:rPr/>
      </w:r>
    </w:p>
    <w:p>
      <w:pPr>
        <w:pStyle w:val="Normal"/>
        <w:jc w:val="both"/>
        <w:rPr>
          <w:rFonts w:ascii="Aptos" w:hAnsi="Aptos"/>
          <w:color w:val="BF360C"/>
        </w:rPr>
      </w:pPr>
      <w:r>
        <w:rPr>
          <w:rFonts w:ascii="Aptos" w:hAnsi="Aptos"/>
          <w:color w:val="BF360C"/>
        </w:rPr>
      </w:r>
    </w:p>
    <w:p>
      <w:pPr>
        <w:pStyle w:val="Normal"/>
        <w:rPr>
          <w:rFonts w:ascii="Aptos" w:hAnsi="Aptos"/>
          <w:color w:val="000000"/>
          <w:sz w:val="20"/>
          <w:szCs w:val="20"/>
        </w:rPr>
      </w:pPr>
      <w:bookmarkStart w:id="7" w:name="docs-internal-guid-ae2a18bb-7fff-0628-ff"/>
      <w:bookmarkEnd w:id="7"/>
      <w:r>
        <w:drawing>
          <wp:anchor behindDoc="0" distT="0" distB="0" distL="0" distR="0" simplePos="0" locked="0" layoutInCell="0" allowOverlap="1" relativeHeight="20">
            <wp:simplePos x="0" y="0"/>
            <wp:positionH relativeFrom="column">
              <wp:align>center</wp:align>
            </wp:positionH>
            <wp:positionV relativeFrom="paragraph">
              <wp:posOffset>635</wp:posOffset>
            </wp:positionV>
            <wp:extent cx="6062345" cy="8447405"/>
            <wp:effectExtent l="0" t="0" r="0" b="0"/>
            <wp:wrapSquare wrapText="largest"/>
            <wp:docPr id="4"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 descr=""/>
                    <pic:cNvPicPr>
                      <a:picLocks noChangeAspect="1" noChangeArrowheads="1"/>
                    </pic:cNvPicPr>
                  </pic:nvPicPr>
                  <pic:blipFill>
                    <a:blip r:embed="rId8"/>
                    <a:stretch>
                      <a:fillRect/>
                    </a:stretch>
                  </pic:blipFill>
                  <pic:spPr bwMode="auto">
                    <a:xfrm>
                      <a:off x="0" y="0"/>
                      <a:ext cx="6062345" cy="8447405"/>
                    </a:xfrm>
                    <a:prstGeom prst="rect">
                      <a:avLst/>
                    </a:prstGeom>
                  </pic:spPr>
                </pic:pic>
              </a:graphicData>
            </a:graphic>
          </wp:anchor>
        </w:drawing>
      </w:r>
      <w:r>
        <w:rPr>
          <w:rFonts w:ascii="Aptos" w:hAnsi="Aptos"/>
          <w:color w:val="000000"/>
          <w:sz w:val="20"/>
          <w:szCs w:val="20"/>
        </w:rPr>
        <w:t>Figure 3 : Phylogeny of the major capsid protein of “</w:t>
      </w:r>
      <w:r>
        <w:rPr>
          <w:rFonts w:ascii="Aptos" w:hAnsi="Aptos"/>
          <w:i/>
          <w:iCs/>
          <w:color w:val="000000"/>
          <w:sz w:val="20"/>
          <w:szCs w:val="20"/>
        </w:rPr>
        <w:t>Alpavirales”</w:t>
      </w:r>
      <w:r>
        <w:rPr>
          <w:rFonts w:ascii="Aptos" w:hAnsi="Aptos"/>
          <w:color w:val="000000"/>
          <w:sz w:val="20"/>
          <w:szCs w:val="20"/>
        </w:rPr>
        <w:t>, using new references and additional complete genomes retrieved in GenBank. The “</w:t>
      </w:r>
      <w:r>
        <w:rPr>
          <w:rFonts w:ascii="Aptos" w:hAnsi="Aptos"/>
          <w:i/>
          <w:iCs/>
          <w:color w:val="000000"/>
          <w:sz w:val="20"/>
          <w:szCs w:val="20"/>
        </w:rPr>
        <w:t>Alpavirales”</w:t>
      </w:r>
      <w:r>
        <w:rPr>
          <w:rFonts w:ascii="Aptos" w:hAnsi="Aptos"/>
          <w:color w:val="000000"/>
          <w:sz w:val="20"/>
          <w:szCs w:val="20"/>
        </w:rPr>
        <w:t xml:space="preserve"> order includes five families. The tree was rooted with sequences from “</w:t>
      </w:r>
      <w:r>
        <w:rPr>
          <w:rFonts w:ascii="Aptos" w:hAnsi="Aptos"/>
          <w:i/>
          <w:color w:val="000000"/>
          <w:sz w:val="20"/>
          <w:szCs w:val="20"/>
        </w:rPr>
        <w:t>Gokushovirales</w:t>
      </w:r>
      <w:r>
        <w:rPr>
          <w:rFonts w:ascii="Aptos" w:hAnsi="Aptos"/>
          <w:color w:val="000000"/>
          <w:sz w:val="20"/>
          <w:szCs w:val="20"/>
        </w:rPr>
        <w:t>”.</w:t>
      </w:r>
    </w:p>
    <w:p>
      <w:pPr>
        <w:pStyle w:val="Normal"/>
        <w:jc w:val="both"/>
        <w:rPr>
          <w:rFonts w:ascii="Aptos" w:hAnsi="Aptos"/>
          <w:color w:val="000000"/>
          <w:sz w:val="20"/>
          <w:szCs w:val="20"/>
        </w:rPr>
      </w:pPr>
      <w:bookmarkStart w:id="8" w:name="docs-internal-guid-e44f1389-7fff-0370-85"/>
      <w:bookmarkEnd w:id="8"/>
      <w:r>
        <w:drawing>
          <wp:anchor behindDoc="0" distT="0" distB="0" distL="0" distR="0" simplePos="0" locked="0" layoutInCell="0" allowOverlap="1" relativeHeight="21">
            <wp:simplePos x="0" y="0"/>
            <wp:positionH relativeFrom="column">
              <wp:align>center</wp:align>
            </wp:positionH>
            <wp:positionV relativeFrom="paragraph">
              <wp:posOffset>635</wp:posOffset>
            </wp:positionV>
            <wp:extent cx="6416675" cy="6702425"/>
            <wp:effectExtent l="0" t="0" r="0" b="0"/>
            <wp:wrapSquare wrapText="largest"/>
            <wp:docPr id="5"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 descr=""/>
                    <pic:cNvPicPr>
                      <a:picLocks noChangeAspect="1" noChangeArrowheads="1"/>
                    </pic:cNvPicPr>
                  </pic:nvPicPr>
                  <pic:blipFill>
                    <a:blip r:embed="rId9"/>
                    <a:stretch>
                      <a:fillRect/>
                    </a:stretch>
                  </pic:blipFill>
                  <pic:spPr bwMode="auto">
                    <a:xfrm>
                      <a:off x="0" y="0"/>
                      <a:ext cx="6416675" cy="6702425"/>
                    </a:xfrm>
                    <a:prstGeom prst="rect">
                      <a:avLst/>
                    </a:prstGeom>
                  </pic:spPr>
                </pic:pic>
              </a:graphicData>
            </a:graphic>
          </wp:anchor>
        </w:drawing>
      </w:r>
      <w:r>
        <w:rPr>
          <w:rFonts w:ascii="Aptos" w:hAnsi="Aptos"/>
          <w:color w:val="000000"/>
          <w:sz w:val="20"/>
          <w:szCs w:val="20"/>
        </w:rPr>
        <w:t>Figure 4 : Phylogeny of the major capsid protein sequences of “</w:t>
      </w:r>
      <w:r>
        <w:rPr>
          <w:rFonts w:ascii="Aptos" w:hAnsi="Aptos"/>
          <w:i/>
          <w:iCs/>
          <w:color w:val="000000"/>
          <w:sz w:val="20"/>
          <w:szCs w:val="20"/>
        </w:rPr>
        <w:t>Roodoodoovirales”</w:t>
      </w:r>
      <w:r>
        <w:rPr>
          <w:rFonts w:ascii="Aptos" w:hAnsi="Aptos"/>
          <w:color w:val="000000"/>
          <w:sz w:val="20"/>
          <w:szCs w:val="20"/>
        </w:rPr>
        <w:t xml:space="preserve"> and “</w:t>
      </w:r>
      <w:r>
        <w:rPr>
          <w:rFonts w:ascii="Aptos" w:hAnsi="Aptos"/>
          <w:i/>
          <w:iCs/>
          <w:color w:val="000000"/>
          <w:sz w:val="20"/>
          <w:szCs w:val="20"/>
        </w:rPr>
        <w:t>Bullavirales”</w:t>
      </w:r>
      <w:r>
        <w:rPr>
          <w:rFonts w:ascii="Aptos" w:hAnsi="Aptos"/>
          <w:color w:val="000000"/>
          <w:sz w:val="20"/>
          <w:szCs w:val="20"/>
        </w:rPr>
        <w:t>, using new references in color and additional complete genomes from GenBank and metagenomic datasets. “</w:t>
      </w:r>
      <w:r>
        <w:rPr>
          <w:rFonts w:ascii="Aptos" w:hAnsi="Aptos"/>
          <w:i/>
          <w:iCs/>
          <w:color w:val="000000"/>
          <w:sz w:val="20"/>
          <w:szCs w:val="20"/>
        </w:rPr>
        <w:t>Roodoodoovirales”</w:t>
      </w:r>
      <w:r>
        <w:rPr>
          <w:rFonts w:ascii="Aptos" w:hAnsi="Aptos"/>
          <w:color w:val="000000"/>
          <w:sz w:val="20"/>
          <w:szCs w:val="20"/>
        </w:rPr>
        <w:t xml:space="preserve"> includes only one family, the “</w:t>
      </w:r>
      <w:r>
        <w:rPr>
          <w:rFonts w:ascii="Aptos" w:hAnsi="Aptos"/>
          <w:i/>
          <w:iCs/>
          <w:color w:val="000000"/>
          <w:sz w:val="20"/>
          <w:szCs w:val="20"/>
        </w:rPr>
        <w:t>Kidogoviridae”</w:t>
      </w:r>
      <w:r>
        <w:rPr>
          <w:rFonts w:ascii="Aptos" w:hAnsi="Aptos"/>
          <w:color w:val="000000"/>
          <w:sz w:val="20"/>
          <w:szCs w:val="20"/>
        </w:rPr>
        <w:t xml:space="preserve">. </w:t>
      </w:r>
      <w:r>
        <w:rPr>
          <w:rFonts w:ascii="Aptos" w:hAnsi="Aptos"/>
          <w:i/>
          <w:iCs/>
          <w:color w:val="000000"/>
          <w:sz w:val="20"/>
          <w:szCs w:val="20"/>
        </w:rPr>
        <w:t>Bullavirales</w:t>
      </w:r>
      <w:r>
        <w:rPr>
          <w:rFonts w:ascii="Aptos" w:hAnsi="Aptos"/>
          <w:color w:val="000000"/>
          <w:sz w:val="20"/>
          <w:szCs w:val="20"/>
        </w:rPr>
        <w:t xml:space="preserve"> contains four families : “</w:t>
      </w:r>
      <w:r>
        <w:rPr>
          <w:rFonts w:ascii="Aptos" w:hAnsi="Aptos"/>
          <w:i/>
          <w:iCs/>
          <w:color w:val="000000"/>
          <w:sz w:val="20"/>
          <w:szCs w:val="20"/>
        </w:rPr>
        <w:t>Eubullaviridae”, “Piticuviridae”, “Pequenoviridae”</w:t>
      </w:r>
      <w:r>
        <w:rPr>
          <w:rFonts w:ascii="Aptos" w:hAnsi="Aptos"/>
          <w:color w:val="000000"/>
          <w:sz w:val="20"/>
          <w:szCs w:val="20"/>
        </w:rPr>
        <w:t xml:space="preserve"> and “</w:t>
      </w:r>
      <w:r>
        <w:rPr>
          <w:rFonts w:ascii="Aptos" w:hAnsi="Aptos"/>
          <w:i/>
          <w:iCs/>
          <w:color w:val="000000"/>
          <w:sz w:val="20"/>
          <w:szCs w:val="20"/>
        </w:rPr>
        <w:t>Piccoloviridae”</w:t>
      </w:r>
      <w:r>
        <w:rPr>
          <w:rFonts w:ascii="Aptos" w:hAnsi="Aptos"/>
          <w:color w:val="000000"/>
          <w:sz w:val="20"/>
          <w:szCs w:val="20"/>
        </w:rPr>
        <w:t>. The tree was rooted with three sequences from “</w:t>
      </w:r>
      <w:r>
        <w:rPr>
          <w:rFonts w:ascii="Aptos" w:hAnsi="Aptos"/>
          <w:i/>
          <w:iCs/>
          <w:color w:val="000000"/>
          <w:sz w:val="20"/>
          <w:szCs w:val="20"/>
        </w:rPr>
        <w:t>Alpavirales”</w:t>
      </w:r>
      <w:r>
        <w:rPr>
          <w:rFonts w:ascii="Aptos" w:hAnsi="Aptos"/>
          <w:color w:val="000000"/>
          <w:sz w:val="20"/>
          <w:szCs w:val="20"/>
        </w:rPr>
        <w:t>.</w:t>
      </w:r>
    </w:p>
    <w:p>
      <w:pPr>
        <w:pStyle w:val="BodyText"/>
        <w:jc w:val="both"/>
        <w:rPr>
          <w:rFonts w:ascii="Aptos" w:hAnsi="Aptos"/>
          <w:color w:val="000000"/>
          <w:sz w:val="20"/>
          <w:szCs w:val="20"/>
          <w:lang w:val="en-US"/>
        </w:rPr>
      </w:pPr>
      <w:bookmarkStart w:id="9" w:name="docs-internal-guid-fe87ab7f-7fff-5ae3-f0"/>
      <w:bookmarkEnd w:id="9"/>
      <w:r>
        <w:drawing>
          <wp:anchor behindDoc="0" distT="0" distB="0" distL="0" distR="0" simplePos="0" locked="0" layoutInCell="0" allowOverlap="1" relativeHeight="30">
            <wp:simplePos x="0" y="0"/>
            <wp:positionH relativeFrom="column">
              <wp:align>center</wp:align>
            </wp:positionH>
            <wp:positionV relativeFrom="paragraph">
              <wp:posOffset>635</wp:posOffset>
            </wp:positionV>
            <wp:extent cx="5926455" cy="4759325"/>
            <wp:effectExtent l="0" t="0" r="0" b="0"/>
            <wp:wrapSquare wrapText="largest"/>
            <wp:docPr id="6"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 descr=""/>
                    <pic:cNvPicPr>
                      <a:picLocks noChangeAspect="1" noChangeArrowheads="1"/>
                    </pic:cNvPicPr>
                  </pic:nvPicPr>
                  <pic:blipFill>
                    <a:blip r:embed="rId10"/>
                    <a:stretch>
                      <a:fillRect/>
                    </a:stretch>
                  </pic:blipFill>
                  <pic:spPr bwMode="auto">
                    <a:xfrm>
                      <a:off x="0" y="0"/>
                      <a:ext cx="5926455" cy="4759325"/>
                    </a:xfrm>
                    <a:prstGeom prst="rect">
                      <a:avLst/>
                    </a:prstGeom>
                  </pic:spPr>
                </pic:pic>
              </a:graphicData>
            </a:graphic>
          </wp:anchor>
        </w:drawing>
      </w:r>
      <w:r>
        <w:rPr>
          <w:rFonts w:ascii="Aptos" w:hAnsi="Aptos"/>
          <w:color w:val="000000"/>
          <w:sz w:val="20"/>
          <w:szCs w:val="20"/>
          <w:lang w:val="en-US"/>
        </w:rPr>
        <w:t>Figure 5 : Phylogeny of the major capsid protein of “</w:t>
      </w:r>
      <w:r>
        <w:rPr>
          <w:rFonts w:ascii="Aptos" w:hAnsi="Aptos"/>
          <w:i/>
          <w:iCs/>
          <w:color w:val="000000"/>
          <w:sz w:val="20"/>
          <w:szCs w:val="20"/>
          <w:lang w:val="en-US"/>
        </w:rPr>
        <w:t>Amoyvirales”</w:t>
      </w:r>
      <w:r>
        <w:rPr>
          <w:rFonts w:ascii="Aptos" w:hAnsi="Aptos"/>
          <w:color w:val="000000"/>
          <w:sz w:val="20"/>
          <w:szCs w:val="20"/>
          <w:lang w:val="en-US"/>
        </w:rPr>
        <w:t xml:space="preserve"> and “</w:t>
      </w:r>
      <w:r>
        <w:rPr>
          <w:rFonts w:ascii="Aptos" w:hAnsi="Aptos"/>
          <w:i/>
          <w:iCs/>
          <w:color w:val="000000"/>
          <w:sz w:val="20"/>
          <w:szCs w:val="20"/>
          <w:lang w:val="en-US"/>
        </w:rPr>
        <w:t>Reekeekeevirales”</w:t>
      </w:r>
      <w:r>
        <w:rPr>
          <w:rFonts w:ascii="Aptos" w:hAnsi="Aptos"/>
          <w:color w:val="000000"/>
          <w:sz w:val="20"/>
          <w:szCs w:val="20"/>
          <w:lang w:val="en-US"/>
        </w:rPr>
        <w:t xml:space="preserve"> using new references in color and additional complete genomes from GenBank and metagenomic datasets. The order “</w:t>
      </w:r>
      <w:r>
        <w:rPr>
          <w:rFonts w:ascii="Aptos" w:hAnsi="Aptos"/>
          <w:i/>
          <w:iCs/>
          <w:color w:val="000000"/>
          <w:sz w:val="20"/>
          <w:szCs w:val="20"/>
          <w:lang w:val="en-US"/>
        </w:rPr>
        <w:t>Reekeekeevirales”</w:t>
      </w:r>
      <w:r>
        <w:rPr>
          <w:rFonts w:ascii="Aptos" w:hAnsi="Aptos"/>
          <w:color w:val="000000"/>
          <w:sz w:val="20"/>
          <w:szCs w:val="20"/>
          <w:lang w:val="en-US"/>
        </w:rPr>
        <w:t xml:space="preserve"> contains one family, the “</w:t>
      </w:r>
      <w:r>
        <w:rPr>
          <w:rFonts w:ascii="Aptos" w:hAnsi="Aptos"/>
          <w:i/>
          <w:iCs/>
          <w:color w:val="000000"/>
          <w:sz w:val="20"/>
          <w:szCs w:val="20"/>
          <w:lang w:val="en-US"/>
        </w:rPr>
        <w:t>Osikeviridae”</w:t>
      </w:r>
      <w:r>
        <w:rPr>
          <w:rFonts w:ascii="Aptos" w:hAnsi="Aptos"/>
          <w:color w:val="000000"/>
          <w:sz w:val="20"/>
          <w:szCs w:val="20"/>
          <w:lang w:val="en-US"/>
        </w:rPr>
        <w:t>. The “</w:t>
      </w:r>
      <w:r>
        <w:rPr>
          <w:rFonts w:ascii="Aptos" w:hAnsi="Aptos"/>
          <w:i/>
          <w:iCs/>
          <w:color w:val="000000"/>
          <w:sz w:val="20"/>
          <w:szCs w:val="20"/>
          <w:lang w:val="en-US"/>
        </w:rPr>
        <w:t>Amoyvirales”</w:t>
      </w:r>
      <w:r>
        <w:rPr>
          <w:rFonts w:ascii="Aptos" w:hAnsi="Aptos"/>
          <w:color w:val="000000"/>
          <w:sz w:val="20"/>
          <w:szCs w:val="20"/>
          <w:lang w:val="en-US"/>
        </w:rPr>
        <w:t xml:space="preserve"> contains two families, the “</w:t>
      </w:r>
      <w:r>
        <w:rPr>
          <w:rFonts w:ascii="Aptos" w:hAnsi="Aptos"/>
          <w:i/>
          <w:iCs/>
          <w:color w:val="000000"/>
          <w:sz w:val="20"/>
          <w:szCs w:val="20"/>
          <w:lang w:val="en-US"/>
        </w:rPr>
        <w:t>Mazaviridae”</w:t>
      </w:r>
      <w:r>
        <w:rPr>
          <w:rFonts w:ascii="Aptos" w:hAnsi="Aptos"/>
          <w:color w:val="000000"/>
          <w:sz w:val="20"/>
          <w:szCs w:val="20"/>
          <w:lang w:val="en-US"/>
        </w:rPr>
        <w:t xml:space="preserve"> and the “</w:t>
      </w:r>
      <w:r>
        <w:rPr>
          <w:rFonts w:ascii="Aptos" w:hAnsi="Aptos"/>
          <w:i/>
          <w:iCs/>
          <w:color w:val="000000"/>
          <w:sz w:val="20"/>
          <w:szCs w:val="20"/>
          <w:lang w:val="en-US"/>
        </w:rPr>
        <w:t>Liberviridae”</w:t>
      </w:r>
      <w:r>
        <w:rPr>
          <w:rFonts w:ascii="Aptos" w:hAnsi="Aptos"/>
          <w:color w:val="000000"/>
          <w:sz w:val="20"/>
          <w:szCs w:val="20"/>
          <w:lang w:val="en-US"/>
        </w:rPr>
        <w:t>.</w:t>
      </w:r>
    </w:p>
    <w:p>
      <w:pPr>
        <w:pStyle w:val="Normal"/>
        <w:jc w:val="both"/>
        <w:rPr>
          <w:rFonts w:ascii="Aptos" w:hAnsi="Aptos"/>
          <w:color w:val="000000"/>
          <w:sz w:val="20"/>
          <w:szCs w:val="20"/>
        </w:rPr>
      </w:pPr>
      <w:r>
        <w:rPr/>
      </w:r>
    </w:p>
    <w:p>
      <w:pPr>
        <w:pStyle w:val="Normal"/>
        <w:jc w:val="both"/>
        <w:rPr>
          <w:rFonts w:ascii="Aptos" w:hAnsi="Aptos"/>
          <w:color w:val="000000"/>
          <w:sz w:val="20"/>
          <w:szCs w:val="20"/>
        </w:rPr>
      </w:pPr>
      <w:r>
        <w:rPr/>
      </w:r>
    </w:p>
    <w:p>
      <w:pPr>
        <w:pStyle w:val="Normal"/>
        <w:jc w:val="both"/>
        <w:rPr>
          <w:rFonts w:ascii="Aptos" w:hAnsi="Aptos"/>
          <w:color w:val="000000"/>
          <w:sz w:val="20"/>
          <w:szCs w:val="20"/>
        </w:rPr>
      </w:pPr>
      <w:r>
        <w:rPr/>
      </w:r>
    </w:p>
    <w:p>
      <w:pPr>
        <w:pStyle w:val="Normal"/>
        <w:jc w:val="both"/>
        <w:rPr>
          <w:rFonts w:ascii="Aptos" w:hAnsi="Aptos"/>
          <w:color w:val="000000"/>
          <w:sz w:val="20"/>
          <w:szCs w:val="20"/>
        </w:rPr>
      </w:pPr>
      <w:r>
        <w:rPr/>
      </w:r>
    </w:p>
    <w:p>
      <w:pPr>
        <w:pStyle w:val="Normal"/>
        <w:jc w:val="both"/>
        <w:rPr>
          <w:rFonts w:ascii="Aptos" w:hAnsi="Aptos"/>
          <w:color w:val="000000"/>
          <w:sz w:val="20"/>
          <w:szCs w:val="20"/>
        </w:rPr>
      </w:pPr>
      <w:r>
        <w:rPr/>
      </w:r>
    </w:p>
    <w:p>
      <w:pPr>
        <w:pStyle w:val="Normal"/>
        <w:jc w:val="both"/>
        <w:rPr>
          <w:rFonts w:ascii="Aptos" w:hAnsi="Aptos"/>
          <w:color w:val="000000"/>
          <w:sz w:val="20"/>
          <w:szCs w:val="20"/>
        </w:rPr>
      </w:pPr>
      <w:r>
        <w:rPr/>
      </w:r>
    </w:p>
    <w:p>
      <w:pPr>
        <w:pStyle w:val="Normal"/>
        <w:jc w:val="both"/>
        <w:rPr>
          <w:rFonts w:ascii="Aptos" w:hAnsi="Aptos"/>
          <w:color w:val="000000"/>
          <w:sz w:val="20"/>
          <w:szCs w:val="20"/>
        </w:rPr>
      </w:pPr>
      <w:r>
        <w:rPr/>
      </w:r>
    </w:p>
    <w:p>
      <w:pPr>
        <w:pStyle w:val="Normal"/>
        <w:jc w:val="both"/>
        <w:rPr>
          <w:rFonts w:ascii="Aptos" w:hAnsi="Aptos"/>
          <w:color w:val="000000"/>
          <w:sz w:val="20"/>
          <w:szCs w:val="20"/>
        </w:rPr>
      </w:pPr>
      <w:r>
        <w:rPr/>
      </w:r>
    </w:p>
    <w:p>
      <w:pPr>
        <w:pStyle w:val="Normal"/>
        <w:jc w:val="both"/>
        <w:rPr>
          <w:rFonts w:ascii="Aptos" w:hAnsi="Aptos"/>
          <w:color w:val="000000"/>
          <w:sz w:val="20"/>
          <w:szCs w:val="20"/>
        </w:rPr>
      </w:pPr>
      <w:r>
        <w:rPr/>
      </w:r>
    </w:p>
    <w:p>
      <w:pPr>
        <w:pStyle w:val="Normal"/>
        <w:jc w:val="both"/>
        <w:rPr>
          <w:rFonts w:ascii="Aptos" w:hAnsi="Aptos"/>
          <w:color w:val="000000"/>
          <w:sz w:val="20"/>
          <w:szCs w:val="20"/>
        </w:rPr>
      </w:pPr>
      <w:r>
        <w:rPr/>
      </w:r>
    </w:p>
    <w:p>
      <w:pPr>
        <w:pStyle w:val="Normal"/>
        <w:jc w:val="both"/>
        <w:rPr>
          <w:rFonts w:ascii="Aptos" w:hAnsi="Aptos"/>
          <w:color w:val="000000"/>
          <w:sz w:val="20"/>
          <w:szCs w:val="20"/>
        </w:rPr>
      </w:pPr>
      <w:r>
        <w:rPr/>
      </w:r>
    </w:p>
    <w:p>
      <w:pPr>
        <w:pStyle w:val="Normal"/>
        <w:jc w:val="both"/>
        <w:rPr>
          <w:rFonts w:ascii="Aptos" w:hAnsi="Aptos"/>
          <w:color w:val="000000"/>
          <w:sz w:val="20"/>
          <w:szCs w:val="20"/>
        </w:rPr>
      </w:pPr>
      <w:r>
        <w:rPr/>
      </w:r>
    </w:p>
    <w:p>
      <w:pPr>
        <w:pStyle w:val="Normal"/>
        <w:jc w:val="both"/>
        <w:rPr>
          <w:rFonts w:ascii="Aptos" w:hAnsi="Aptos"/>
          <w:color w:val="000000"/>
          <w:sz w:val="20"/>
          <w:szCs w:val="20"/>
        </w:rPr>
      </w:pPr>
      <w:r>
        <w:rPr/>
      </w:r>
    </w:p>
    <w:p>
      <w:pPr>
        <w:pStyle w:val="Normal"/>
        <w:jc w:val="both"/>
        <w:rPr>
          <w:rFonts w:ascii="Aptos" w:hAnsi="Aptos"/>
          <w:color w:val="000000"/>
          <w:sz w:val="20"/>
          <w:szCs w:val="20"/>
        </w:rPr>
      </w:pPr>
      <w:r>
        <w:drawing>
          <wp:anchor behindDoc="0" distT="0" distB="0" distL="0" distR="0" simplePos="0" locked="0" layoutInCell="0" allowOverlap="1" relativeHeight="22">
            <wp:simplePos x="0" y="0"/>
            <wp:positionH relativeFrom="column">
              <wp:align>center</wp:align>
            </wp:positionH>
            <wp:positionV relativeFrom="paragraph">
              <wp:posOffset>635</wp:posOffset>
            </wp:positionV>
            <wp:extent cx="6956425" cy="5948045"/>
            <wp:effectExtent l="0" t="0" r="0" b="0"/>
            <wp:wrapSquare wrapText="largest"/>
            <wp:docPr id="7"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descr=""/>
                    <pic:cNvPicPr>
                      <a:picLocks noChangeAspect="1" noChangeArrowheads="1"/>
                    </pic:cNvPicPr>
                  </pic:nvPicPr>
                  <pic:blipFill>
                    <a:blip r:embed="rId11"/>
                    <a:stretch>
                      <a:fillRect/>
                    </a:stretch>
                  </pic:blipFill>
                  <pic:spPr bwMode="auto">
                    <a:xfrm>
                      <a:off x="0" y="0"/>
                      <a:ext cx="6956425" cy="5948045"/>
                    </a:xfrm>
                    <a:prstGeom prst="rect">
                      <a:avLst/>
                    </a:prstGeom>
                  </pic:spPr>
                </pic:pic>
              </a:graphicData>
            </a:graphic>
          </wp:anchor>
        </w:drawing>
      </w:r>
      <w:r>
        <w:rPr>
          <w:rFonts w:ascii="Aptos" w:hAnsi="Aptos"/>
          <w:color w:val="000000"/>
          <w:sz w:val="20"/>
          <w:szCs w:val="20"/>
        </w:rPr>
        <w:t>Figure 6 : Phylogeny of the major capsid protein of “</w:t>
      </w:r>
      <w:r>
        <w:rPr>
          <w:rFonts w:ascii="Aptos" w:hAnsi="Aptos"/>
          <w:i/>
          <w:iCs/>
          <w:color w:val="000000"/>
          <w:sz w:val="20"/>
          <w:szCs w:val="20"/>
        </w:rPr>
        <w:t>Gokushovirales”</w:t>
      </w:r>
      <w:r>
        <w:rPr>
          <w:rFonts w:ascii="Aptos" w:hAnsi="Aptos"/>
          <w:color w:val="000000"/>
          <w:sz w:val="20"/>
          <w:szCs w:val="20"/>
        </w:rPr>
        <w:t>, using new references in color and additional complete genomes from GenBank and metagenomic datasets. The order “</w:t>
      </w:r>
      <w:r>
        <w:rPr>
          <w:rFonts w:ascii="Aptos" w:hAnsi="Aptos"/>
          <w:i/>
          <w:iCs/>
          <w:color w:val="000000"/>
          <w:sz w:val="20"/>
          <w:szCs w:val="20"/>
        </w:rPr>
        <w:t>Gokushovirales”</w:t>
      </w:r>
      <w:r>
        <w:rPr>
          <w:rFonts w:ascii="Aptos" w:hAnsi="Aptos"/>
          <w:color w:val="000000"/>
          <w:sz w:val="20"/>
          <w:szCs w:val="20"/>
        </w:rPr>
        <w:t xml:space="preserve"> contains five families : “</w:t>
      </w:r>
      <w:r>
        <w:rPr>
          <w:rFonts w:ascii="Aptos" w:hAnsi="Aptos"/>
          <w:i/>
          <w:iCs/>
          <w:color w:val="000000"/>
          <w:sz w:val="20"/>
          <w:szCs w:val="20"/>
        </w:rPr>
        <w:t>Pichoviridae”, “Sukshmaviridae”, “Alphagokushoviridae”, “Betagokushoviridae”, and “Groupodiviridae”</w:t>
      </w:r>
      <w:r>
        <w:rPr>
          <w:rFonts w:ascii="Aptos" w:hAnsi="Aptos"/>
          <w:color w:val="000000"/>
          <w:sz w:val="20"/>
          <w:szCs w:val="20"/>
        </w:rPr>
        <w:t>. The tree was rooted with sequences from Alpavirales.</w:t>
      </w:r>
    </w:p>
    <w:p>
      <w:pPr>
        <w:pStyle w:val="Normal"/>
        <w:rPr>
          <w:rFonts w:ascii="Aptos" w:hAnsi="Aptos"/>
          <w:color w:val="000000"/>
          <w:sz w:val="20"/>
          <w:szCs w:val="20"/>
        </w:rPr>
      </w:pPr>
      <w:r>
        <w:rPr>
          <w:rFonts w:ascii="Aptos" w:hAnsi="Aptos"/>
          <w:color w:val="000000"/>
          <w:sz w:val="20"/>
          <w:szCs w:val="20"/>
        </w:rPr>
      </w:r>
    </w:p>
    <w:p>
      <w:pPr>
        <w:pStyle w:val="Normal"/>
        <w:rPr>
          <w:rFonts w:ascii="Aptos" w:hAnsi="Aptos"/>
          <w:color w:val="000000"/>
        </w:rPr>
      </w:pPr>
      <w:r>
        <w:drawing>
          <wp:anchor behindDoc="0" distT="0" distB="0" distL="0" distR="0" simplePos="0" locked="0" layoutInCell="0" allowOverlap="1" relativeHeight="23">
            <wp:simplePos x="0" y="0"/>
            <wp:positionH relativeFrom="column">
              <wp:posOffset>-566420</wp:posOffset>
            </wp:positionH>
            <wp:positionV relativeFrom="paragraph">
              <wp:posOffset>41275</wp:posOffset>
            </wp:positionV>
            <wp:extent cx="7066280" cy="8079740"/>
            <wp:effectExtent l="0" t="0" r="0" b="0"/>
            <wp:wrapSquare wrapText="largest"/>
            <wp:docPr id="8"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descr=""/>
                    <pic:cNvPicPr>
                      <a:picLocks noChangeAspect="1" noChangeArrowheads="1"/>
                    </pic:cNvPicPr>
                  </pic:nvPicPr>
                  <pic:blipFill>
                    <a:blip r:embed="rId12"/>
                    <a:stretch>
                      <a:fillRect/>
                    </a:stretch>
                  </pic:blipFill>
                  <pic:spPr bwMode="auto">
                    <a:xfrm>
                      <a:off x="0" y="0"/>
                      <a:ext cx="7066280" cy="8079740"/>
                    </a:xfrm>
                    <a:prstGeom prst="rect">
                      <a:avLst/>
                    </a:prstGeom>
                  </pic:spPr>
                </pic:pic>
              </a:graphicData>
            </a:graphic>
          </wp:anchor>
        </w:drawing>
      </w:r>
      <w:r>
        <w:rPr>
          <w:rFonts w:ascii="Aptos" w:hAnsi="Aptos"/>
          <w:color w:val="000000"/>
          <w:sz w:val="20"/>
          <w:szCs w:val="20"/>
        </w:rPr>
        <w:t>Figure 7 : Matrix containing intergenomic distances between all 158 microvirus genomes, computed using VIRIDIC.</w:t>
      </w:r>
    </w:p>
    <w:sectPr>
      <w:headerReference w:type="even" r:id="rId13"/>
      <w:headerReference w:type="default" r:id="rId14"/>
      <w:headerReference w:type="first" r:id="rId15"/>
      <w:footerReference w:type="even" r:id="rId16"/>
      <w:footerReference w:type="default" r:id="rId17"/>
      <w:footerReference w:type="first" r:id="rId18"/>
      <w:type w:val="nextPage"/>
      <w:pgSz w:w="11906" w:h="16838"/>
      <w:pgMar w:left="1440" w:right="1133" w:gutter="0" w:header="708" w:top="1440" w:footer="0" w:bottom="993"/>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Times New Roman">
    <w:charset w:val="01"/>
    <w:family w:val="roman"/>
    <w:pitch w:val="variable"/>
  </w:font>
  <w:font w:name="Liberation Serif">
    <w:altName w:val="Times New Roman"/>
    <w:charset w:val="01"/>
    <w:family w:val="swiss"/>
    <w:pitch w:val="variable"/>
  </w:font>
  <w:font w:name="Times">
    <w:altName w:val="Times New Roman"/>
    <w:charset w:val="01"/>
    <w:family w:val="roman"/>
    <w:pitch w:val="variable"/>
  </w:font>
  <w:font w:name="OpenSymbol">
    <w:altName w:val="Arial Unicode MS"/>
    <w:charset w:val="01"/>
    <w:family w:val="roman"/>
    <w:pitch w:val="variable"/>
  </w:font>
  <w:font w:name="Liberation Sans">
    <w:altName w:val="Arial"/>
    <w:charset w:val="01"/>
    <w:family w:val="roman"/>
    <w:pitch w:val="variable"/>
  </w:font>
  <w:font w:name="Liberation Mono">
    <w:altName w:val="Courier New"/>
    <w:charset w:val="01"/>
    <w:family w:val="roman"/>
    <w:pitch w:val="variable"/>
  </w:font>
  <w:font w:name="Aptos">
    <w:charset w:val="01"/>
    <w:family w:val="roman"/>
    <w:pitch w:val="variable"/>
  </w:font>
  <w:font w:name="Aptos SemiBold">
    <w:charset w:val="01"/>
    <w:family w:val="roman"/>
    <w:pitch w:val="variable"/>
  </w:font>
  <w:font w:name="Aptos Narrow">
    <w:charset w:val="01"/>
    <w:family w:val="roman"/>
    <w:pitch w:val="variable"/>
  </w:font>
  <w:font w:name="Aptos">
    <w:charset w:val="01"/>
    <w:family w:val="swiss"/>
    <w:pitch w:val="variable"/>
  </w:font>
  <w:font w:name="Arial">
    <w:charset w:val="01"/>
    <w:family w:val="roman"/>
    <w:pitch w:val="variable"/>
  </w:font>
  <w:font w:name="aptos">
    <w:charset w:val="01"/>
    <w:family w:val="roman"/>
    <w:pitch w:val="variable"/>
  </w:font>
  <w:font w:name="Arial Narrow">
    <w:charset w:val="01"/>
    <w:family w:val="roman"/>
    <w:pitch w:val="variable"/>
  </w:font>
  <w:font w:name="Courier New">
    <w:charset w:val="01"/>
    <w:family w:val="modern"/>
    <w:pitch w:val="fixed"/>
  </w:font>
  <w:font w:name="Wingdings">
    <w:charset w:val="02"/>
    <w:family w:val="auto"/>
    <w:pitch w:val="default"/>
  </w:font>
  <w:font w:name="Symbol">
    <w:charset w:val="02"/>
    <w:family w:val="auto"/>
    <w:pitch w:val="default"/>
  </w:font>
  <w:font w:name="OpenSymbol">
    <w:altName w:val="Arial Unicode MS"/>
    <w:charset w:val="01"/>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998371881"/>
    </w:sdtPr>
    <w:sdtContent>
      <w:p>
        <w:pPr>
          <w:pStyle w:val="Footer"/>
          <w:pBdr>
            <w:top w:val="single" w:sz="4" w:space="1" w:color="D9D9D9" w:themeColor="light1" w:themeShade="d9"/>
          </w:pBdr>
          <w:rPr>
            <w:rFonts w:ascii="Aptos" w:hAnsi="Aptos"/>
            <w:b/>
            <w:bCs/>
            <w:sz w:val="16"/>
            <w:szCs w:val="16"/>
          </w:rPr>
        </w:pPr>
        <w:r>
          <w:rPr>
            <w:rFonts w:ascii="Aptos" w:hAnsi="Aptos"/>
            <w:b/>
            <w:bCs/>
            <w:sz w:val="16"/>
            <w:szCs w:val="16"/>
          </w:rPr>
          <w:fldChar w:fldCharType="begin"/>
        </w:r>
        <w:r>
          <w:rPr>
            <w:sz w:val="16"/>
            <w:b/>
            <w:szCs w:val="16"/>
            <w:bCs/>
            <w:rFonts w:ascii="Aptos" w:hAnsi="Aptos"/>
          </w:rPr>
          <w:instrText xml:space="preserve"> PAGE </w:instrText>
        </w:r>
        <w:r>
          <w:rPr>
            <w:sz w:val="16"/>
            <w:b/>
            <w:szCs w:val="16"/>
            <w:bCs/>
            <w:rFonts w:ascii="Aptos" w:hAnsi="Aptos"/>
          </w:rPr>
          <w:fldChar w:fldCharType="separate"/>
        </w:r>
        <w:r>
          <w:rPr>
            <w:sz w:val="16"/>
            <w:b/>
            <w:szCs w:val="16"/>
            <w:bCs/>
            <w:rFonts w:ascii="Aptos" w:hAnsi="Aptos"/>
          </w:rPr>
          <w:t>9</w:t>
        </w:r>
        <w:r>
          <w:rPr>
            <w:sz w:val="16"/>
            <w:b/>
            <w:szCs w:val="16"/>
            <w:bCs/>
            <w:rFonts w:ascii="Aptos" w:hAnsi="Aptos"/>
          </w:rPr>
          <w:fldChar w:fldCharType="end"/>
        </w:r>
        <w:r>
          <w:rPr>
            <w:rFonts w:ascii="Aptos" w:hAnsi="Aptos"/>
            <w:b/>
            <w:bCs/>
            <w:sz w:val="16"/>
            <w:szCs w:val="16"/>
          </w:rPr>
          <w:t xml:space="preserve"> </w:t>
        </w:r>
        <w:r>
          <w:rPr>
            <w:rFonts w:ascii="Aptos" w:hAnsi="Aptos"/>
            <w:b/>
            <w:bCs/>
            <w:sz w:val="16"/>
            <w:szCs w:val="16"/>
          </w:rPr>
          <w:t xml:space="preserve">| </w:t>
        </w:r>
        <w:r>
          <w:rPr>
            <w:rFonts w:ascii="Aptos" w:hAnsi="Aptos"/>
            <w:color w:themeColor="background1" w:themeShade="7f" w:val="7F7F7F"/>
            <w:spacing w:val="60"/>
            <w:sz w:val="16"/>
            <w:szCs w:val="16"/>
          </w:rPr>
          <w:t>Page</w:t>
        </w:r>
      </w:p>
    </w:sdtContent>
  </w:sdt>
  <w:p>
    <w:pPr>
      <w:pStyle w:val="Footer"/>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998371881"/>
    </w:sdtPr>
    <w:sdtContent>
      <w:p>
        <w:pPr>
          <w:pStyle w:val="Footer"/>
          <w:pBdr>
            <w:top w:val="single" w:sz="4" w:space="1" w:color="D9D9D9" w:themeColor="light1" w:themeShade="d9"/>
          </w:pBdr>
          <w:rPr>
            <w:rFonts w:ascii="Aptos" w:hAnsi="Aptos"/>
            <w:b/>
            <w:bCs/>
            <w:sz w:val="16"/>
            <w:szCs w:val="16"/>
          </w:rPr>
        </w:pPr>
        <w:r>
          <w:rPr>
            <w:rFonts w:ascii="Aptos" w:hAnsi="Aptos"/>
            <w:b/>
            <w:bCs/>
            <w:sz w:val="16"/>
            <w:szCs w:val="16"/>
          </w:rPr>
          <w:fldChar w:fldCharType="begin"/>
        </w:r>
        <w:r>
          <w:rPr>
            <w:sz w:val="16"/>
            <w:b/>
            <w:szCs w:val="16"/>
            <w:bCs/>
            <w:rFonts w:ascii="Aptos" w:hAnsi="Aptos"/>
          </w:rPr>
          <w:instrText xml:space="preserve"> PAGE </w:instrText>
        </w:r>
        <w:r>
          <w:rPr>
            <w:sz w:val="16"/>
            <w:b/>
            <w:szCs w:val="16"/>
            <w:bCs/>
            <w:rFonts w:ascii="Aptos" w:hAnsi="Aptos"/>
          </w:rPr>
          <w:fldChar w:fldCharType="separate"/>
        </w:r>
        <w:r>
          <w:rPr>
            <w:sz w:val="16"/>
            <w:b/>
            <w:szCs w:val="16"/>
            <w:bCs/>
            <w:rFonts w:ascii="Aptos" w:hAnsi="Aptos"/>
          </w:rPr>
          <w:t>9</w:t>
        </w:r>
        <w:r>
          <w:rPr>
            <w:sz w:val="16"/>
            <w:b/>
            <w:szCs w:val="16"/>
            <w:bCs/>
            <w:rFonts w:ascii="Aptos" w:hAnsi="Aptos"/>
          </w:rPr>
          <w:fldChar w:fldCharType="end"/>
        </w:r>
        <w:r>
          <w:rPr>
            <w:rFonts w:ascii="Aptos" w:hAnsi="Aptos"/>
            <w:b/>
            <w:bCs/>
            <w:sz w:val="16"/>
            <w:szCs w:val="16"/>
          </w:rPr>
          <w:t xml:space="preserve"> </w:t>
        </w:r>
        <w:r>
          <w:rPr>
            <w:rFonts w:ascii="Aptos" w:hAnsi="Aptos"/>
            <w:b/>
            <w:bCs/>
            <w:sz w:val="16"/>
            <w:szCs w:val="16"/>
          </w:rPr>
          <w:t xml:space="preserve">| </w:t>
        </w:r>
        <w:r>
          <w:rPr>
            <w:rFonts w:ascii="Aptos" w:hAnsi="Aptos"/>
            <w:color w:themeColor="background1" w:themeShade="7f" w:val="7F7F7F"/>
            <w:spacing w:val="60"/>
            <w:sz w:val="16"/>
            <w:szCs w:val="16"/>
          </w:rPr>
          <w:t>Page</w:t>
        </w:r>
      </w:p>
    </w:sdtContent>
  </w:sdt>
  <w:p>
    <w:pPr>
      <w:pStyle w:val="Footer"/>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right"/>
      <w:rPr>
        <w:i/>
        <w:i/>
        <w:sz w:val="18"/>
        <w:szCs w:val="18"/>
      </w:rPr>
    </w:pPr>
    <w:r>
      <w:drawing>
        <wp:anchor behindDoc="1" distT="0" distB="0" distL="114300" distR="114300" simplePos="0" locked="0" layoutInCell="0" allowOverlap="1" relativeHeight="18">
          <wp:simplePos x="0" y="0"/>
          <wp:positionH relativeFrom="margin">
            <wp:posOffset>243205</wp:posOffset>
          </wp:positionH>
          <wp:positionV relativeFrom="paragraph">
            <wp:posOffset>-106045</wp:posOffset>
          </wp:positionV>
          <wp:extent cx="560705" cy="344170"/>
          <wp:effectExtent l="0" t="0" r="0" b="0"/>
          <wp:wrapSquare wrapText="bothSides"/>
          <wp:docPr id="9"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 descr=""/>
                  <pic:cNvPicPr>
                    <a:picLocks noChangeAspect="1" noChangeArrowheads="1"/>
                  </pic:cNvPicPr>
                </pic:nvPicPr>
                <pic:blipFill>
                  <a:blip r:embed="rId1"/>
                  <a:stretch>
                    <a:fillRect/>
                  </a:stretch>
                </pic:blipFill>
                <pic:spPr bwMode="auto">
                  <a:xfrm>
                    <a:off x="0" y="0"/>
                    <a:ext cx="560705" cy="344170"/>
                  </a:xfrm>
                  <a:prstGeom prst="rect">
                    <a:avLst/>
                  </a:prstGeom>
                </pic:spPr>
              </pic:pic>
            </a:graphicData>
          </a:graphic>
        </wp:anchor>
      </w:drawing>
    </w:r>
    <w:r>
      <w:rPr>
        <w:rFonts w:ascii="Aptos" w:hAnsi="Aptos"/>
        <w:i/>
        <w:sz w:val="18"/>
        <w:szCs w:val="18"/>
      </w:rPr>
      <w:t>ICTV Taxonomy Proposal Form 2025 v.2</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right"/>
      <w:rPr>
        <w:i/>
        <w:i/>
        <w:sz w:val="18"/>
        <w:szCs w:val="18"/>
      </w:rPr>
    </w:pPr>
    <w:r>
      <w:drawing>
        <wp:anchor behindDoc="1" distT="0" distB="0" distL="114300" distR="114300" simplePos="0" locked="0" layoutInCell="0" allowOverlap="1" relativeHeight="18">
          <wp:simplePos x="0" y="0"/>
          <wp:positionH relativeFrom="margin">
            <wp:posOffset>243205</wp:posOffset>
          </wp:positionH>
          <wp:positionV relativeFrom="paragraph">
            <wp:posOffset>-106045</wp:posOffset>
          </wp:positionV>
          <wp:extent cx="560705" cy="344170"/>
          <wp:effectExtent l="0" t="0" r="0" b="0"/>
          <wp:wrapSquare wrapText="bothSides"/>
          <wp:docPr id="10"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 descr=""/>
                  <pic:cNvPicPr>
                    <a:picLocks noChangeAspect="1" noChangeArrowheads="1"/>
                  </pic:cNvPicPr>
                </pic:nvPicPr>
                <pic:blipFill>
                  <a:blip r:embed="rId1"/>
                  <a:stretch>
                    <a:fillRect/>
                  </a:stretch>
                </pic:blipFill>
                <pic:spPr bwMode="auto">
                  <a:xfrm>
                    <a:off x="0" y="0"/>
                    <a:ext cx="560705" cy="344170"/>
                  </a:xfrm>
                  <a:prstGeom prst="rect">
                    <a:avLst/>
                  </a:prstGeom>
                </pic:spPr>
              </pic:pic>
            </a:graphicData>
          </a:graphic>
        </wp:anchor>
      </w:drawing>
    </w:r>
    <w:r>
      <w:rPr>
        <w:rFonts w:ascii="Aptos" w:hAnsi="Aptos"/>
        <w:i/>
        <w:sz w:val="18"/>
        <w:szCs w:val="18"/>
      </w:rPr>
      <w:t>ICTV Taxonomy Proposal Form 2025 v.2</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
    <w:lvl w:ilvl="0">
      <w:start w:val="1"/>
      <w:numFmt w:val="decimal"/>
      <w:lvlText w:val="%1)"/>
      <w:lvlJc w:val="left"/>
      <w:pPr>
        <w:tabs>
          <w:tab w:val="num" w:pos="720"/>
        </w:tabs>
        <w:ind w:left="720" w:hanging="360"/>
      </w:pPr>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4">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140"/>
  <w:defaultTabStop w:val="720"/>
  <w:autoHyphenation w:val="true"/>
  <w:compat>
    <w:doNotBreakWrappedTables/>
    <w:compatSetting w:name="compatibilityMode" w:uri="http://schemas.microsoft.com/office/word" w:val="12"/>
    <w:compatSetting w:name="useWord2013TrackBottomHyphenation"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4"/>
        <w:szCs w:val="24"/>
        <w:lang w:val="en-GB"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styleId="Normal" w:default="1">
    <w:name w:val="Normal"/>
    <w:qFormat/>
    <w:rsid w:val="00f05b35"/>
    <w:pPr>
      <w:widowControl/>
      <w:suppressAutoHyphens w:val="true"/>
      <w:bidi w:val="0"/>
      <w:spacing w:before="0" w:after="0"/>
      <w:jc w:val="left"/>
    </w:pPr>
    <w:rPr>
      <w:rFonts w:ascii="Times New Roman" w:hAnsi="Times New Roman" w:eastAsia="Times New Roman" w:cs="Times New Roman"/>
      <w:color w:val="auto"/>
      <w:kern w:val="0"/>
      <w:sz w:val="24"/>
      <w:szCs w:val="24"/>
      <w:lang w:val="en-US" w:eastAsia="en-US" w:bidi="ar-SA"/>
    </w:rPr>
  </w:style>
  <w:style w:type="paragraph" w:styleId="Heading3">
    <w:name w:val="Heading 3"/>
    <w:basedOn w:val="Titre"/>
    <w:next w:val="BodyText"/>
    <w:qFormat/>
    <w:pPr>
      <w:spacing w:before="140" w:after="120"/>
      <w:outlineLvl w:val="2"/>
    </w:pPr>
    <w:rPr>
      <w:rFonts w:ascii="Liberation Serif" w:hAnsi="Liberation Serif" w:eastAsia="DejaVu Sans" w:cs="Noto Sans Arabic"/>
      <w:b/>
      <w:bCs/>
    </w:rPr>
  </w:style>
  <w:style w:type="character" w:styleId="DefaultParagraphFont" w:default="1">
    <w:name w:val="Default Paragraph Font"/>
    <w:uiPriority w:val="1"/>
    <w:semiHidden/>
    <w:unhideWhenUsed/>
    <w:qFormat/>
    <w:rPr/>
  </w:style>
  <w:style w:type="character" w:styleId="BodyTextIndentChar" w:customStyle="1">
    <w:name w:val="Body Text Indent Char"/>
    <w:basedOn w:val="DefaultParagraphFont"/>
    <w:semiHidden/>
    <w:qFormat/>
    <w:rsid w:val="00f05b35"/>
    <w:rPr>
      <w:rFonts w:ascii="Times" w:hAnsi="Times" w:eastAsia="Times" w:cs="Times New Roman"/>
      <w:szCs w:val="20"/>
      <w:lang w:val="en-US" w:eastAsia="en-GB"/>
    </w:rPr>
  </w:style>
  <w:style w:type="character" w:styleId="InternetLink" w:customStyle="1">
    <w:name w:val="Internet Link"/>
    <w:qFormat/>
    <w:rsid w:val="00f05b35"/>
    <w:rPr>
      <w:color w:val="0000FF"/>
      <w:u w:val="single"/>
    </w:rPr>
  </w:style>
  <w:style w:type="character" w:styleId="BalloonTextChar" w:customStyle="1">
    <w:name w:val="Balloon Text Char"/>
    <w:basedOn w:val="DefaultParagraphFont"/>
    <w:link w:val="BalloonText"/>
    <w:uiPriority w:val="99"/>
    <w:semiHidden/>
    <w:qFormat/>
    <w:rsid w:val="006c6960"/>
    <w:rPr>
      <w:rFonts w:ascii="Times New Roman" w:hAnsi="Times New Roman" w:eastAsia="Times New Roman" w:cs="Times New Roman"/>
      <w:sz w:val="18"/>
      <w:szCs w:val="18"/>
      <w:lang w:val="en-US"/>
    </w:rPr>
  </w:style>
  <w:style w:type="character" w:styleId="refsource" w:customStyle="1">
    <w:name w:val="refsource"/>
    <w:basedOn w:val="DefaultParagraphFont"/>
    <w:qFormat/>
    <w:rsid w:val="006c6960"/>
    <w:rPr/>
  </w:style>
  <w:style w:type="character" w:styleId="HeaderChar" w:customStyle="1">
    <w:name w:val="Header Char"/>
    <w:basedOn w:val="DefaultParagraphFont"/>
    <w:uiPriority w:val="99"/>
    <w:qFormat/>
    <w:rsid w:val="004609d1"/>
    <w:rPr>
      <w:rFonts w:ascii="Times New Roman" w:hAnsi="Times New Roman" w:eastAsia="Times New Roman" w:cs="Times New Roman"/>
      <w:lang w:val="en-US"/>
    </w:rPr>
  </w:style>
  <w:style w:type="character" w:styleId="FooterChar" w:customStyle="1">
    <w:name w:val="Footer Char"/>
    <w:basedOn w:val="DefaultParagraphFont"/>
    <w:uiPriority w:val="99"/>
    <w:qFormat/>
    <w:rsid w:val="004609d1"/>
    <w:rPr>
      <w:rFonts w:ascii="Times New Roman" w:hAnsi="Times New Roman" w:eastAsia="Times New Roman" w:cs="Times New Roman"/>
      <w:lang w:val="en-US"/>
    </w:rPr>
  </w:style>
  <w:style w:type="character" w:styleId="VisitedInternetLink" w:customStyle="1">
    <w:name w:val="Visited Internet Link"/>
    <w:qFormat/>
    <w:rPr>
      <w:color w:val="800000"/>
      <w:u w:val="single"/>
    </w:rPr>
  </w:style>
  <w:style w:type="character" w:styleId="CommentTextChar" w:customStyle="1">
    <w:name w:val="Comment Text Char"/>
    <w:basedOn w:val="DefaultParagraphFont"/>
    <w:uiPriority w:val="99"/>
    <w:semiHidden/>
    <w:qFormat/>
    <w:rPr>
      <w:rFonts w:ascii="Times New Roman" w:hAnsi="Times New Roman" w:eastAsia="Times New Roman" w:cs="Times New Roman"/>
      <w:sz w:val="20"/>
      <w:szCs w:val="20"/>
      <w:lang w:val="en-US"/>
    </w:rPr>
  </w:style>
  <w:style w:type="character" w:styleId="annotationreference">
    <w:name w:val="annotation reference"/>
    <w:basedOn w:val="DefaultParagraphFont"/>
    <w:uiPriority w:val="99"/>
    <w:semiHidden/>
    <w:unhideWhenUsed/>
    <w:qFormat/>
    <w:rPr>
      <w:sz w:val="16"/>
      <w:szCs w:val="16"/>
    </w:rPr>
  </w:style>
  <w:style w:type="character" w:styleId="Hyperlink">
    <w:name w:val="Hyperlink"/>
    <w:basedOn w:val="DefaultParagraphFont"/>
    <w:unhideWhenUsed/>
    <w:rsid w:val="00437970"/>
    <w:rPr>
      <w:color w:themeColor="hyperlink" w:val="0563C1"/>
      <w:u w:val="single"/>
    </w:rPr>
  </w:style>
  <w:style w:type="character" w:styleId="UnresolvedMention">
    <w:name w:val="Unresolved Mention"/>
    <w:basedOn w:val="DefaultParagraphFont"/>
    <w:uiPriority w:val="99"/>
    <w:qFormat/>
    <w:rsid w:val="00437970"/>
    <w:rPr>
      <w:color w:val="605E5C"/>
      <w:shd w:fill="E1DFDD" w:val="clear"/>
    </w:rPr>
  </w:style>
  <w:style w:type="character" w:styleId="FollowedHyperlink">
    <w:name w:val="FollowedHyperlink"/>
    <w:basedOn w:val="DefaultParagraphFont"/>
    <w:uiPriority w:val="99"/>
    <w:semiHidden/>
    <w:unhideWhenUsed/>
    <w:rsid w:val="00437970"/>
    <w:rPr>
      <w:color w:themeColor="followedHyperlink" w:val="954F72"/>
      <w:u w:val="single"/>
    </w:rPr>
  </w:style>
  <w:style w:type="character" w:styleId="CommentSubjectChar" w:customStyle="1">
    <w:name w:val="Comment Subject Char"/>
    <w:basedOn w:val="CommentTextChar"/>
    <w:link w:val="annotationsubject"/>
    <w:uiPriority w:val="99"/>
    <w:semiHidden/>
    <w:qFormat/>
    <w:rsid w:val="00d13ad5"/>
    <w:rPr>
      <w:rFonts w:ascii="Times New Roman" w:hAnsi="Times New Roman" w:eastAsia="Times New Roman" w:cs="Times New Roman"/>
      <w:b/>
      <w:bCs/>
      <w:sz w:val="20"/>
      <w:szCs w:val="20"/>
      <w:lang w:val="en-US"/>
    </w:rPr>
  </w:style>
  <w:style w:type="character" w:styleId="Emphasis">
    <w:name w:val="Emphasis"/>
    <w:qFormat/>
    <w:rPr>
      <w:i/>
      <w:iCs/>
    </w:rPr>
  </w:style>
  <w:style w:type="character" w:styleId="Puces" w:customStyle="1">
    <w:name w:val="Puces"/>
    <w:qFormat/>
    <w:rPr>
      <w:rFonts w:ascii="OpenSymbol" w:hAnsi="OpenSymbol" w:eastAsia="OpenSymbol" w:cs="OpenSymbol"/>
    </w:rPr>
  </w:style>
  <w:style w:type="character" w:styleId="Caractresdenumrotation" w:customStyle="1">
    <w:name w:val="Caractères de numérotation"/>
    <w:qFormat/>
    <w:rPr/>
  </w:style>
  <w:style w:type="paragraph" w:styleId="Titre" w:customStyle="1">
    <w:name w:val="Titre"/>
    <w:basedOn w:val="Normal"/>
    <w:next w:val="BodyText"/>
    <w:qFormat/>
    <w:pPr>
      <w:keepNext w:val="true"/>
      <w:spacing w:before="240" w:after="120"/>
    </w:pPr>
    <w:rPr>
      <w:rFonts w:ascii="Liberation Sans" w:hAnsi="Liberation Sans" w:eastAsia="PingFang SC" w:cs="Arial Unicode M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Arial Unicode MS"/>
    </w:rPr>
  </w:style>
  <w:style w:type="paragraph" w:styleId="Caption">
    <w:name w:val="Caption"/>
    <w:basedOn w:val="Normal"/>
    <w:qFormat/>
    <w:pPr>
      <w:suppressLineNumbers/>
      <w:spacing w:before="120" w:after="120"/>
    </w:pPr>
    <w:rPr>
      <w:rFonts w:cs="Arial Unicode MS"/>
      <w:i/>
      <w:iCs/>
    </w:rPr>
  </w:style>
  <w:style w:type="paragraph" w:styleId="Index" w:customStyle="1">
    <w:name w:val="Index"/>
    <w:basedOn w:val="Normal"/>
    <w:qFormat/>
    <w:pPr>
      <w:suppressLineNumbers/>
    </w:pPr>
    <w:rPr>
      <w:rFonts w:cs="Arial Unicode MS"/>
    </w:rPr>
  </w:style>
  <w:style w:type="paragraph" w:styleId="BodyTextIndent">
    <w:name w:val="Body Text Indent"/>
    <w:basedOn w:val="Normal"/>
    <w:link w:val="BodyTextIndentChar"/>
    <w:semiHidden/>
    <w:rsid w:val="00f05b35"/>
    <w:pPr>
      <w:ind w:hanging="2880" w:left="2880"/>
    </w:pPr>
    <w:rPr>
      <w:rFonts w:ascii="Times" w:hAnsi="Times" w:eastAsia="Times"/>
      <w:szCs w:val="20"/>
      <w:lang w:eastAsia="en-GB"/>
    </w:rPr>
  </w:style>
  <w:style w:type="paragraph" w:styleId="BalloonText">
    <w:name w:val="Balloon Text"/>
    <w:basedOn w:val="Normal"/>
    <w:link w:val="BalloonTextChar"/>
    <w:uiPriority w:val="99"/>
    <w:semiHidden/>
    <w:unhideWhenUsed/>
    <w:qFormat/>
    <w:rsid w:val="006c6960"/>
    <w:pPr/>
    <w:rPr>
      <w:sz w:val="18"/>
      <w:szCs w:val="18"/>
    </w:rPr>
  </w:style>
  <w:style w:type="paragraph" w:styleId="En-tteetpieddepage" w:customStyle="1">
    <w:name w:val="En-tête et pied de page"/>
    <w:basedOn w:val="Normal"/>
    <w:qFormat/>
    <w:pPr/>
    <w:rPr/>
  </w:style>
  <w:style w:type="paragraph" w:styleId="Header">
    <w:name w:val="Header"/>
    <w:basedOn w:val="Normal"/>
    <w:link w:val="HeaderChar"/>
    <w:uiPriority w:val="99"/>
    <w:unhideWhenUsed/>
    <w:rsid w:val="004609d1"/>
    <w:pPr>
      <w:tabs>
        <w:tab w:val="clear" w:pos="720"/>
        <w:tab w:val="center" w:pos="4513" w:leader="none"/>
        <w:tab w:val="right" w:pos="9026" w:leader="none"/>
      </w:tabs>
    </w:pPr>
    <w:rPr/>
  </w:style>
  <w:style w:type="paragraph" w:styleId="Footer">
    <w:name w:val="Footer"/>
    <w:basedOn w:val="Normal"/>
    <w:link w:val="FooterChar"/>
    <w:uiPriority w:val="99"/>
    <w:unhideWhenUsed/>
    <w:rsid w:val="004609d1"/>
    <w:pPr>
      <w:tabs>
        <w:tab w:val="clear" w:pos="720"/>
        <w:tab w:val="center" w:pos="4513" w:leader="none"/>
        <w:tab w:val="right" w:pos="9026" w:leader="none"/>
      </w:tabs>
    </w:pPr>
    <w:rPr/>
  </w:style>
  <w:style w:type="paragraph" w:styleId="AnnotationText">
    <w:name w:val="Annotation Text"/>
    <w:basedOn w:val="Normal"/>
    <w:link w:val="CommentTextChar"/>
    <w:uiPriority w:val="99"/>
    <w:semiHidden/>
    <w:unhideWhenUsed/>
    <w:pPr/>
    <w:rPr>
      <w:sz w:val="20"/>
      <w:szCs w:val="20"/>
    </w:rPr>
  </w:style>
  <w:style w:type="paragraph" w:styleId="Revision">
    <w:name w:val="Revision"/>
    <w:uiPriority w:val="99"/>
    <w:semiHidden/>
    <w:qFormat/>
    <w:rsid w:val="0072682d"/>
    <w:pPr>
      <w:widowControl/>
      <w:suppressAutoHyphens w:val="true"/>
      <w:bidi w:val="0"/>
      <w:spacing w:before="0" w:after="0"/>
      <w:jc w:val="left"/>
    </w:pPr>
    <w:rPr>
      <w:rFonts w:ascii="Times New Roman" w:hAnsi="Times New Roman" w:eastAsia="Times New Roman" w:cs="Times New Roman"/>
      <w:color w:val="auto"/>
      <w:kern w:val="0"/>
      <w:sz w:val="24"/>
      <w:szCs w:val="24"/>
      <w:lang w:val="en-US" w:eastAsia="en-US" w:bidi="ar-SA"/>
    </w:rPr>
  </w:style>
  <w:style w:type="paragraph" w:styleId="annotationsubject">
    <w:name w:val="annotation subject"/>
    <w:basedOn w:val="AnnotationText"/>
    <w:next w:val="AnnotationText"/>
    <w:link w:val="CommentSubjectChar"/>
    <w:uiPriority w:val="99"/>
    <w:semiHidden/>
    <w:unhideWhenUsed/>
    <w:qFormat/>
    <w:rsid w:val="00d13ad5"/>
    <w:pPr/>
    <w:rPr>
      <w:b/>
      <w:bCs/>
    </w:rPr>
  </w:style>
  <w:style w:type="paragraph" w:styleId="ListParagraph">
    <w:name w:val="List Paragraph"/>
    <w:basedOn w:val="Normal"/>
    <w:uiPriority w:val="34"/>
    <w:qFormat/>
    <w:rsid w:val="00683d0c"/>
    <w:pPr>
      <w:spacing w:before="0" w:after="0"/>
      <w:ind w:left="720"/>
      <w:contextualSpacing/>
    </w:pPr>
    <w:rPr/>
  </w:style>
  <w:style w:type="paragraph" w:styleId="Contenudecadre" w:customStyle="1">
    <w:name w:val="Contenu de cadre"/>
    <w:basedOn w:val="Normal"/>
    <w:qFormat/>
    <w:pPr/>
    <w:rPr/>
  </w:style>
  <w:style w:type="paragraph" w:styleId="Contenudetableau" w:customStyle="1">
    <w:name w:val="Contenu de tableau"/>
    <w:basedOn w:val="Normal"/>
    <w:qFormat/>
    <w:pPr>
      <w:widowControl w:val="false"/>
      <w:suppressLineNumbers/>
    </w:pPr>
    <w:rPr/>
  </w:style>
  <w:style w:type="paragraph" w:styleId="Titredetableau" w:customStyle="1">
    <w:name w:val="Titre de tableau"/>
    <w:basedOn w:val="Contenudetableau"/>
    <w:qFormat/>
    <w:pPr>
      <w:jc w:val="center"/>
    </w:pPr>
    <w:rPr>
      <w:b/>
      <w:bCs/>
    </w:rPr>
  </w:style>
  <w:style w:type="paragraph" w:styleId="Texteprformat" w:customStyle="1">
    <w:name w:val="Texte préformaté"/>
    <w:basedOn w:val="Normal"/>
    <w:qFormat/>
    <w:pPr/>
    <w:rPr>
      <w:rFonts w:ascii="Liberation Mono" w:hAnsi="Liberation Mono" w:eastAsia="Liberation Mono" w:cs="Liberation Mono"/>
      <w:sz w:val="20"/>
      <w:szCs w:val="20"/>
    </w:rPr>
  </w:style>
  <w:style w:type="numbering" w:styleId="Pasdeliste" w:customStyle="1">
    <w:name w:val="Pas de liste"/>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 w:type="table" w:styleId="TableGrid">
    <w:name w:val="Table Grid"/>
    <w:basedOn w:val="TableNormal"/>
    <w:uiPriority w:val="39"/>
    <w:rsid w:val="00f05b35"/>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https://ictv.global/taxonomy/templates" TargetMode="External"/><Relationship Id="rId4" Type="http://schemas.openxmlformats.org/officeDocument/2006/relationships/hyperlink" Target="https://ictv.global/sc" TargetMode="External"/><Relationship Id="rId5" Type="http://schemas.openxmlformats.org/officeDocument/2006/relationships/hyperlink" Target="https://ictv.global/taxonomy/templates" TargetMode="External"/><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header" Target="header1.xml"/><Relationship Id="rId14" Type="http://schemas.openxmlformats.org/officeDocument/2006/relationships/header" Target="header2.xml"/><Relationship Id="rId15" Type="http://schemas.openxmlformats.org/officeDocument/2006/relationships/header" Target="header3.xml"/><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footer" Target="footer3.xml"/><Relationship Id="rId19" Type="http://schemas.openxmlformats.org/officeDocument/2006/relationships/numbering" Target="numbering.xml"/><Relationship Id="rId20" Type="http://schemas.openxmlformats.org/officeDocument/2006/relationships/fontTable" Target="fontTable.xml"/><Relationship Id="rId21" Type="http://schemas.openxmlformats.org/officeDocument/2006/relationships/settings" Target="settings.xml"/><Relationship Id="rId22" Type="http://schemas.openxmlformats.org/officeDocument/2006/relationships/theme" Target="theme/theme1.xml"/><Relationship Id="rId23" Type="http://schemas.openxmlformats.org/officeDocument/2006/relationships/customXml" Target="../customXml/item1.xml"/>
</Relationships>
</file>

<file path=word/_rels/header2.xml.rels><?xml version="1.0" encoding="UTF-8"?>
<Relationships xmlns="http://schemas.openxmlformats.org/package/2006/relationships"><Relationship Id="rId1" Type="http://schemas.openxmlformats.org/officeDocument/2006/relationships/image" Target="media/image1.png"/>
</Relationships>
</file>

<file path=word/_rels/header3.xml.rels><?xml version="1.0" encoding="UTF-8"?>
<Relationships xmlns="http://schemas.openxmlformats.org/package/2006/relationships"><Relationship Id="rId1" Type="http://schemas.openxmlformats.org/officeDocument/2006/relationships/image" Target="media/image1.png"/>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pitchFamily="0" charset="1"/>
        <a:ea typeface=""/>
        <a:cs typeface=""/>
      </a:majorFont>
      <a:minorFont>
        <a:latin typeface="Calibri" panose="020F050202020403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B141DA-E478-4434-A4CA-A2F068AF9E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3415</TotalTime>
  <Application>LibreOffice/24.2.7.2$Linux_X86_64 LibreOffice_project/420$Build-2</Application>
  <AppVersion>15.0000</AppVersion>
  <Pages>17</Pages>
  <Words>3261</Words>
  <Characters>26701</Characters>
  <CharactersWithSpaces>28924</CharactersWithSpaces>
  <Paragraphs>1038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2025-03-25T08:46:00Z</dcterms:created>
  <dc:creator>Peter Simmonds</dc:creator>
  <dc:description/>
  <dc:language>en-US</dc:language>
  <cp:lastModifiedBy/>
  <cp:lastPrinted>2025-06-20T21:44:00Z</cp:lastPrinted>
  <dcterms:modified xsi:type="dcterms:W3CDTF">2025-10-14T16:11:21Z</dcterms:modified>
  <cp:revision>40</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0</vt:bool>
  </property>
  <property fmtid="{D5CDD505-2E9C-101B-9397-08002B2CF9AE}" pid="3" name="LinksUpToDate">
    <vt:bool>0</vt:bool>
  </property>
  <property fmtid="{D5CDD505-2E9C-101B-9397-08002B2CF9AE}" pid="4" name="ScaleCrop">
    <vt:bool>0</vt:bool>
  </property>
  <property fmtid="{D5CDD505-2E9C-101B-9397-08002B2CF9AE}" pid="5" name="ShareDoc">
    <vt:bool>0</vt:bool>
  </property>
</Properties>
</file>