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69B29997" w:rsidR="00A174CC" w:rsidRDefault="00467A15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7E607356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F766F47" w:rsidR="00E37077" w:rsidRPr="001D0007" w:rsidRDefault="00A722B5" w:rsidP="7E607356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Create a new </w:t>
            </w:r>
            <w:r w:rsidR="00435AA8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>subfamily</w:t>
            </w:r>
            <w:r w:rsidR="0088656D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14AF" w:rsidRPr="7E6073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Alvarado</w:t>
            </w:r>
            <w:r w:rsidR="00435AA8" w:rsidRPr="7E6073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virinae</w:t>
            </w:r>
            <w:proofErr w:type="spellEnd"/>
            <w:r w:rsidR="0088656D" w:rsidRPr="7E6073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435AA8" w:rsidRPr="7E6073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35AA8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>wi</w:t>
            </w:r>
            <w:r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 </w:t>
            </w:r>
            <w:r w:rsidR="000F5D09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>three</w:t>
            </w:r>
            <w:r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435AA8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>genera</w:t>
            </w:r>
            <w:r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A47BEE" w:rsidRPr="7E607356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in the Class </w:t>
            </w:r>
            <w:r w:rsidR="00A47BEE" w:rsidRPr="7E60735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Caudoviricetes</w:t>
            </w:r>
          </w:p>
        </w:tc>
      </w:tr>
      <w:tr w:rsidR="00E37077" w:rsidRPr="00C95FB7" w14:paraId="6479468A" w14:textId="77777777" w:rsidTr="7E607356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723074A" w:rsidR="00E37077" w:rsidRPr="00584039" w:rsidRDefault="00584039" w:rsidP="00584039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2025.002B.</w:t>
            </w:r>
            <w:r w:rsidR="00983293">
              <w:rPr>
                <w:rFonts w:ascii="Aptos Narrow" w:hAnsi="Aptos Narrow"/>
                <w:color w:val="000000"/>
                <w:sz w:val="22"/>
                <w:szCs w:val="22"/>
              </w:rPr>
              <w:t>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Alvaradovirinae_1nsf_3ng_</w:t>
            </w:r>
            <w:r w:rsidR="00117B9D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1747913C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F98F861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1747913C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F584FE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1445489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4A6F318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A722B5" w14:paraId="25991084" w14:textId="1F2FA2C1" w:rsidTr="1747913C">
        <w:tc>
          <w:tcPr>
            <w:tcW w:w="1838" w:type="dxa"/>
          </w:tcPr>
          <w:p w14:paraId="7E9FF899" w14:textId="5371E3AB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Andrew M.</w:t>
            </w:r>
          </w:p>
        </w:tc>
        <w:tc>
          <w:tcPr>
            <w:tcW w:w="1418" w:type="dxa"/>
          </w:tcPr>
          <w:p w14:paraId="065089F1" w14:textId="5337EB1D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Kropinski</w:t>
            </w:r>
          </w:p>
        </w:tc>
        <w:tc>
          <w:tcPr>
            <w:tcW w:w="2835" w:type="dxa"/>
          </w:tcPr>
          <w:p w14:paraId="5A10F992" w14:textId="2343A921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Department of Pathobiology, The Ontario Veterinary College, University of Guelph, Guelph, Ontario, Canada</w:t>
            </w:r>
          </w:p>
        </w:tc>
        <w:tc>
          <w:tcPr>
            <w:tcW w:w="2126" w:type="dxa"/>
          </w:tcPr>
          <w:p w14:paraId="584336C5" w14:textId="75BC188C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</w:tcPr>
          <w:p w14:paraId="01837D6A" w14:textId="61C52A51" w:rsidR="00A722B5" w:rsidRPr="00CD2C82" w:rsidRDefault="00A722B5" w:rsidP="1747913C">
            <w:pPr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A722B5" w14:paraId="1B668FB3" w14:textId="2C6F00EF" w:rsidTr="1747913C">
        <w:tc>
          <w:tcPr>
            <w:tcW w:w="1838" w:type="dxa"/>
          </w:tcPr>
          <w:p w14:paraId="7C1B4F79" w14:textId="4C06B097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Cristina</w:t>
            </w:r>
          </w:p>
        </w:tc>
        <w:tc>
          <w:tcPr>
            <w:tcW w:w="1418" w:type="dxa"/>
          </w:tcPr>
          <w:p w14:paraId="5E41446B" w14:textId="37B162E7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proofErr w:type="spellStart"/>
            <w:r w:rsidRPr="1747913C">
              <w:rPr>
                <w:rFonts w:ascii="Aptos" w:eastAsia="Aptos" w:hAnsi="Aptos" w:cs="Aptos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</w:tcPr>
          <w:p w14:paraId="3EC4C5A6" w14:textId="2B2C0DCA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</w:tcPr>
          <w:p w14:paraId="1DDF5257" w14:textId="5419B800" w:rsidR="00A722B5" w:rsidRPr="00CD2C82" w:rsidRDefault="00A722B5" w:rsidP="1747913C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</w:tcPr>
          <w:p w14:paraId="398397DC" w14:textId="63F54794" w:rsidR="00A722B5" w:rsidRPr="00CD2C82" w:rsidRDefault="00A722B5" w:rsidP="1747913C">
            <w:pPr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0F5D09" w14:paraId="5A6097EC" w14:textId="77777777" w:rsidTr="1747913C">
        <w:tc>
          <w:tcPr>
            <w:tcW w:w="1838" w:type="dxa"/>
          </w:tcPr>
          <w:p w14:paraId="7F88CD42" w14:textId="399638F6" w:rsidR="000F5D09" w:rsidRPr="000A5D35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Anca M.</w:t>
            </w:r>
          </w:p>
        </w:tc>
        <w:tc>
          <w:tcPr>
            <w:tcW w:w="1418" w:type="dxa"/>
          </w:tcPr>
          <w:p w14:paraId="3E3747C0" w14:textId="079297F1" w:rsidR="000F5D09" w:rsidRPr="000A5D35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1747913C">
              <w:rPr>
                <w:rFonts w:ascii="Aptos" w:eastAsia="Aptos" w:hAnsi="Aptos" w:cs="Aptos"/>
                <w:sz w:val="20"/>
                <w:szCs w:val="20"/>
              </w:rPr>
              <w:t>Segall</w:t>
            </w:r>
            <w:proofErr w:type="spellEnd"/>
          </w:p>
        </w:tc>
        <w:tc>
          <w:tcPr>
            <w:tcW w:w="2835" w:type="dxa"/>
          </w:tcPr>
          <w:p w14:paraId="69C86471" w14:textId="1FECB01B" w:rsidR="000F5D09" w:rsidRPr="000A5D35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Department of Chemistry and Biochemistry, SDSU, San Diego, CA, USA</w:t>
            </w:r>
          </w:p>
        </w:tc>
        <w:tc>
          <w:tcPr>
            <w:tcW w:w="2126" w:type="dxa"/>
          </w:tcPr>
          <w:p w14:paraId="47C23F22" w14:textId="078BEFB2" w:rsidR="000F5D09" w:rsidRPr="000A5D35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asegall@sdsu.edu</w:t>
            </w:r>
          </w:p>
        </w:tc>
        <w:tc>
          <w:tcPr>
            <w:tcW w:w="1106" w:type="dxa"/>
          </w:tcPr>
          <w:p w14:paraId="01FCCD67" w14:textId="4EDDBFBA" w:rsidR="000F5D09" w:rsidRPr="00CD2C82" w:rsidRDefault="000F5D09" w:rsidP="1747913C">
            <w:pPr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</w:tr>
      <w:tr w:rsidR="000C14AF" w14:paraId="5A251CFB" w14:textId="77777777" w:rsidTr="1747913C">
        <w:tc>
          <w:tcPr>
            <w:tcW w:w="1838" w:type="dxa"/>
          </w:tcPr>
          <w:p w14:paraId="0CA83500" w14:textId="103E907F" w:rsidR="000C14AF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Johannes</w:t>
            </w:r>
          </w:p>
        </w:tc>
        <w:tc>
          <w:tcPr>
            <w:tcW w:w="1418" w:type="dxa"/>
          </w:tcPr>
          <w:p w14:paraId="2C05F095" w14:textId="51F8B55F" w:rsidR="000C14AF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Wittmann</w:t>
            </w:r>
          </w:p>
        </w:tc>
        <w:tc>
          <w:tcPr>
            <w:tcW w:w="2835" w:type="dxa"/>
          </w:tcPr>
          <w:p w14:paraId="7AEB44B7" w14:textId="4A7EF58E" w:rsidR="000C14AF" w:rsidRPr="000C14AF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 xml:space="preserve">Leibniz Institute DSMZ, </w:t>
            </w:r>
          </w:p>
        </w:tc>
        <w:tc>
          <w:tcPr>
            <w:tcW w:w="2126" w:type="dxa"/>
          </w:tcPr>
          <w:p w14:paraId="2EB8105A" w14:textId="7D5DFE6F" w:rsidR="000C14AF" w:rsidRDefault="000C14AF" w:rsidP="1747913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747913C">
              <w:rPr>
                <w:rFonts w:ascii="Aptos" w:eastAsia="Aptos" w:hAnsi="Aptos" w:cs="Aptos"/>
                <w:sz w:val="20"/>
                <w:szCs w:val="20"/>
              </w:rPr>
              <w:t>Johannes.wittmann@dsmz.de</w:t>
            </w:r>
          </w:p>
        </w:tc>
        <w:tc>
          <w:tcPr>
            <w:tcW w:w="1106" w:type="dxa"/>
          </w:tcPr>
          <w:p w14:paraId="66580783" w14:textId="19F6DB1E" w:rsidR="000C14AF" w:rsidRPr="00CD2C82" w:rsidRDefault="000C14AF" w:rsidP="1747913C">
            <w:pPr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1747913C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38D69CB0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E27AB5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8A79D1F" w:rsidR="00D062BE" w:rsidRDefault="00BE092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95979EF" w:rsidR="00D062BE" w:rsidRPr="0023149A" w:rsidRDefault="00BE092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x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</w:t>
            </w:r>
            <w:proofErr w:type="spellEnd"/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="00296DA3"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 w:rsid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4C7F9D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5EF35FC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1E1380E5" w:rsidR="0072682D" w:rsidRPr="000C5189" w:rsidRDefault="00A47BE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5889AD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5D0F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31A2C6D" w:rsidR="003A18C5" w:rsidRPr="001D0007" w:rsidRDefault="003A18C5" w:rsidP="005D0FE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47BEE">
              <w:rPr>
                <w:rFonts w:ascii="Aptos" w:hAnsi="Aptos" w:cs="Arial"/>
                <w:bCs/>
                <w:sz w:val="20"/>
                <w:szCs w:val="20"/>
              </w:rPr>
              <w:t>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A826C0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15115581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15115581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15115581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0CEF3B6" w:rsidR="000A7027" w:rsidRDefault="221B960A" w:rsidP="15115581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15115581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15115581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15115581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15115581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15115581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15115581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46815CDD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46815CDD">
        <w:trPr>
          <w:trHeight w:val="794"/>
        </w:trPr>
        <w:tc>
          <w:tcPr>
            <w:tcW w:w="8505" w:type="dxa"/>
          </w:tcPr>
          <w:p w14:paraId="36A44976" w14:textId="0A448018" w:rsidR="000A7027" w:rsidRPr="00C95FB7" w:rsidRDefault="641C83DC" w:rsidP="15115581">
            <w:pPr>
              <w:spacing w:after="240"/>
            </w:pPr>
            <w:r w:rsidRPr="46815CDD">
              <w:rPr>
                <w:rFonts w:ascii="Aptos" w:eastAsia="Aptos" w:hAnsi="Aptos" w:cs="Aptos"/>
                <w:sz w:val="20"/>
                <w:szCs w:val="20"/>
              </w:rPr>
              <w:t>Please improve the quality of the abstract, there is a lack of phylogenetic tree (not necessary but would improve the proposal). The d</w:t>
            </w:r>
            <w:r w:rsidR="2C3D1BB6" w:rsidRPr="46815CDD">
              <w:rPr>
                <w:rFonts w:ascii="Aptos" w:eastAsia="Aptos" w:hAnsi="Aptos" w:cs="Aptos"/>
                <w:sz w:val="20"/>
                <w:szCs w:val="20"/>
              </w:rPr>
              <w:t xml:space="preserve">emarcation criteria for subfamily are not present in </w:t>
            </w:r>
            <w:r w:rsidR="4E79E0F9" w:rsidRPr="46815CDD">
              <w:rPr>
                <w:rFonts w:ascii="Aptos" w:eastAsia="Aptos" w:hAnsi="Aptos" w:cs="Aptos"/>
                <w:sz w:val="20"/>
                <w:szCs w:val="20"/>
              </w:rPr>
              <w:t xml:space="preserve">the </w:t>
            </w:r>
            <w:r w:rsidR="2C3D1BB6" w:rsidRPr="46815CDD">
              <w:rPr>
                <w:rFonts w:ascii="Aptos" w:eastAsia="Aptos" w:hAnsi="Aptos" w:cs="Aptos"/>
                <w:sz w:val="20"/>
                <w:szCs w:val="20"/>
              </w:rPr>
              <w:t>proposal and should be added.</w:t>
            </w:r>
          </w:p>
          <w:p w14:paraId="352B8AE1" w14:textId="11CAA072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49D5CD3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FF5D37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2072C540" w:rsidR="00296DA3" w:rsidRDefault="005F2A2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Corrections c</w:t>
            </w:r>
            <w:r w:rsidR="001E4519">
              <w:rPr>
                <w:rFonts w:ascii="Aptos" w:hAnsi="Aptos" w:cs="Arial"/>
                <w:sz w:val="20"/>
                <w:szCs w:val="20"/>
              </w:rPr>
              <w:t>ompleted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009F317" w:rsidR="00BE4F5A" w:rsidRDefault="005F2A24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August 28, 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4849C43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15115581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40B3274" w:rsidR="00DD58AA" w:rsidRDefault="00467A15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6E3756D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14352D4" w:rsidR="00953FFE" w:rsidRDefault="00BE092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1747913C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4E06140" w:rsidR="00333392" w:rsidRPr="00220A26" w:rsidRDefault="00333392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1747913C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0C22CF" w:rsidRPr="009F7856" w14:paraId="48273F44" w14:textId="77777777" w:rsidTr="1747913C">
        <w:trPr>
          <w:trHeight w:val="71"/>
        </w:trPr>
        <w:tc>
          <w:tcPr>
            <w:tcW w:w="2547" w:type="dxa"/>
            <w:vAlign w:val="center"/>
          </w:tcPr>
          <w:p w14:paraId="2B4F2A8D" w14:textId="0BFF1C00" w:rsidR="000C22CF" w:rsidRPr="00DA16D3" w:rsidRDefault="577E0026" w:rsidP="1747913C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1747913C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Alvaradovirinae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4AAE77DF" w:rsidR="000C22CF" w:rsidRPr="00040CB0" w:rsidRDefault="577E0026" w:rsidP="1747913C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>Name</w:t>
            </w:r>
            <w:r w:rsidR="00EC6726"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 after </w:t>
            </w:r>
            <w:r w:rsidR="008F00F9" w:rsidRPr="008F00F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Juan Bautista Valentín Alvarado y Vallejo (1809 – 1882) </w:t>
            </w:r>
            <w:r w:rsidR="008F00F9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who </w:t>
            </w:r>
            <w:r w:rsidR="008F00F9" w:rsidRPr="008F00F9">
              <w:rPr>
                <w:rFonts w:ascii="Aptos" w:hAnsi="Aptos" w:cs="Arial"/>
                <w:color w:val="000000" w:themeColor="text1"/>
                <w:sz w:val="20"/>
                <w:szCs w:val="20"/>
              </w:rPr>
              <w:t>was governor of California from 1837–1842</w:t>
            </w:r>
          </w:p>
        </w:tc>
      </w:tr>
      <w:tr w:rsidR="000C22CF" w:rsidRPr="009F7856" w14:paraId="7AAF5EF0" w14:textId="77777777" w:rsidTr="1747913C">
        <w:trPr>
          <w:trHeight w:val="71"/>
        </w:trPr>
        <w:tc>
          <w:tcPr>
            <w:tcW w:w="2547" w:type="dxa"/>
            <w:vAlign w:val="center"/>
          </w:tcPr>
          <w:p w14:paraId="24B2DC76" w14:textId="7772668F" w:rsidR="000C22CF" w:rsidRPr="00DA16D3" w:rsidRDefault="577E0026" w:rsidP="1747913C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1747913C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Amaduovirus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7AD579C0" w:rsidR="000C22CF" w:rsidRPr="00040CB0" w:rsidRDefault="577E0026" w:rsidP="1747913C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Named after </w:t>
            </w:r>
            <w:proofErr w:type="spellStart"/>
            <w:r w:rsidRPr="1747913C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Achromobacter</w:t>
            </w:r>
            <w:proofErr w:type="spellEnd"/>
            <w:r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phage AMA2</w:t>
            </w:r>
          </w:p>
        </w:tc>
      </w:tr>
      <w:tr w:rsidR="000C22CF" w:rsidRPr="009F7856" w14:paraId="1165141A" w14:textId="77777777" w:rsidTr="1747913C">
        <w:trPr>
          <w:trHeight w:val="71"/>
        </w:trPr>
        <w:tc>
          <w:tcPr>
            <w:tcW w:w="2547" w:type="dxa"/>
            <w:vAlign w:val="center"/>
          </w:tcPr>
          <w:p w14:paraId="2D7AAFF0" w14:textId="6AACBA0D" w:rsidR="000C22CF" w:rsidRPr="00DA16D3" w:rsidRDefault="577E0026" w:rsidP="1747913C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1747913C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Nyaakvirus</w:t>
            </w:r>
            <w:proofErr w:type="spellEnd"/>
          </w:p>
        </w:tc>
        <w:tc>
          <w:tcPr>
            <w:tcW w:w="6379" w:type="dxa"/>
            <w:vAlign w:val="center"/>
          </w:tcPr>
          <w:p w14:paraId="56BC5065" w14:textId="7F6A75F0" w:rsidR="000C22CF" w:rsidRPr="00040CB0" w:rsidRDefault="577E0026" w:rsidP="1747913C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Named after </w:t>
            </w:r>
            <w:proofErr w:type="spellStart"/>
            <w:r w:rsidRPr="1747913C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Achromobacter</w:t>
            </w:r>
            <w:proofErr w:type="spellEnd"/>
            <w:r w:rsidRPr="1747913C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phage nyaak_TL1</w:t>
            </w:r>
          </w:p>
        </w:tc>
      </w:tr>
      <w:tr w:rsidR="000C22CF" w:rsidRPr="009F7856" w14:paraId="20245EE3" w14:textId="77777777" w:rsidTr="1747913C">
        <w:trPr>
          <w:trHeight w:val="71"/>
        </w:trPr>
        <w:tc>
          <w:tcPr>
            <w:tcW w:w="2547" w:type="dxa"/>
          </w:tcPr>
          <w:p w14:paraId="6DC0E204" w14:textId="78A56A21" w:rsidR="000C22CF" w:rsidRPr="00DA16D3" w:rsidRDefault="000C22CF" w:rsidP="000C22CF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1A4F8B73" w:rsidR="000C22CF" w:rsidRPr="00040CB0" w:rsidRDefault="000C22CF" w:rsidP="000C22CF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5D0FE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9CBD65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BEA18A0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15115581">
        <w:tc>
          <w:tcPr>
            <w:tcW w:w="8926" w:type="dxa"/>
            <w:shd w:val="clear" w:color="auto" w:fill="F2F2F2" w:themeFill="background1" w:themeFillShade="F2"/>
          </w:tcPr>
          <w:p w14:paraId="5831EE03" w14:textId="160C71D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15115581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9D77FFF" w14:textId="77777777" w:rsidR="005C7E5A" w:rsidRDefault="3E16FC02" w:rsidP="005F2A24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Taxonomic </w:t>
            </w:r>
            <w:r w:rsidR="00363A30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rank</w:t>
            </w: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(s) affected</w:t>
            </w:r>
            <w:r w:rsidR="002A2339" w:rsidRPr="1747913C">
              <w:rPr>
                <w:rFonts w:ascii="Aptos" w:hAnsi="Aptos" w:cs="Arial"/>
                <w:sz w:val="20"/>
                <w:szCs w:val="20"/>
              </w:rPr>
              <w:t>:</w:t>
            </w:r>
            <w:r w:rsidR="002A2339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5C6E6CF0" w14:textId="375F3094" w:rsidR="41E44C74" w:rsidRDefault="002A2339" w:rsidP="005F2A2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</w:t>
            </w:r>
            <w:r w:rsidR="005F2A24">
              <w:rPr>
                <w:rFonts w:ascii="Aptos" w:hAnsi="Aptos" w:cs="Arial"/>
                <w:sz w:val="20"/>
                <w:szCs w:val="20"/>
              </w:rPr>
              <w:t>, genus and species</w:t>
            </w:r>
            <w:r w:rsidR="41E44C74" w:rsidRPr="1747913C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63787E" w14:textId="1E680A4A" w:rsidR="00A77B8E" w:rsidRPr="00822596" w:rsidRDefault="3E16FC02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32B5F2E1" w14:textId="279BE6AE" w:rsidR="00A77B8E" w:rsidRPr="00822596" w:rsidRDefault="1C52140F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5F2A24">
              <w:rPr>
                <w:rFonts w:ascii="Aptos" w:hAnsi="Aptos" w:cs="Arial"/>
                <w:i/>
                <w:iCs/>
                <w:sz w:val="20"/>
                <w:szCs w:val="20"/>
              </w:rPr>
              <w:t>Achromobacter</w:t>
            </w:r>
            <w:proofErr w:type="spellEnd"/>
            <w:r w:rsidRPr="005F2A2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phage JWX belongs to the genus 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1747913C">
              <w:rPr>
                <w:rFonts w:ascii="Aptos" w:hAnsi="Aptos" w:cs="Arial"/>
                <w:sz w:val="20"/>
                <w:szCs w:val="20"/>
              </w:rPr>
              <w:t>which was created via Taxonomy Proposal</w:t>
            </w:r>
            <w:r w:rsidR="743756A4" w:rsidRPr="1747913C">
              <w:rPr>
                <w:rFonts w:ascii="Aptos" w:hAnsi="Aptos" w:cs="Arial"/>
                <w:sz w:val="20"/>
                <w:szCs w:val="20"/>
              </w:rPr>
              <w:t>s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355851D3" w:rsidRPr="1747913C">
              <w:rPr>
                <w:rFonts w:ascii="Aptos" w:hAnsi="Aptos" w:cs="Arial"/>
                <w:sz w:val="20"/>
                <w:szCs w:val="20"/>
              </w:rPr>
              <w:t>2018.007B.A.v4.rename137gen6sp</w:t>
            </w:r>
            <w:r w:rsidR="167CF889" w:rsidRPr="1747913C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="355851D3" w:rsidRPr="1747913C">
              <w:rPr>
                <w:rFonts w:ascii="Aptos" w:hAnsi="Aptos" w:cs="Arial"/>
                <w:sz w:val="20"/>
                <w:szCs w:val="20"/>
              </w:rPr>
              <w:t xml:space="preserve"> 2016.020a-dB.A.v1.Jwxvirus. This genus currently contains two species: 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355851D3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JWX</w:t>
            </w:r>
            <w:r w:rsidR="355851D3" w:rsidRPr="174791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355851D3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="355851D3" w:rsidRPr="1747913C">
              <w:rPr>
                <w:rFonts w:ascii="Aptos" w:hAnsi="Aptos" w:cs="Arial"/>
                <w:sz w:val="20"/>
                <w:szCs w:val="20"/>
              </w:rPr>
              <w:t xml:space="preserve"> sv8324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C2CAB19" w14:textId="18955357" w:rsidR="00A77B8E" w:rsidRPr="00BE4F5A" w:rsidRDefault="3E16FC02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3EB90D13" w:rsidR="00A77B8E" w:rsidRPr="00BE4F5A" w:rsidRDefault="18190795" w:rsidP="1747913C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1747913C">
              <w:rPr>
                <w:rFonts w:ascii="Aptos" w:hAnsi="Aptos" w:cs="Arial"/>
                <w:sz w:val="20"/>
                <w:szCs w:val="20"/>
              </w:rPr>
              <w:t xml:space="preserve">To create a new </w:t>
            </w:r>
            <w:r w:rsidR="00E27F09" w:rsidRPr="1747913C">
              <w:rPr>
                <w:rFonts w:ascii="Aptos" w:hAnsi="Aptos" w:cs="Arial"/>
                <w:sz w:val="20"/>
                <w:szCs w:val="20"/>
              </w:rPr>
              <w:t>subfamily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37EEF275" w:rsidRPr="1747913C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Alvarado</w:t>
            </w:r>
            <w:r w:rsidR="00E27F09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virinae</w:t>
            </w:r>
            <w:proofErr w:type="spellEnd"/>
            <w:r w:rsidR="11ABF076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with </w:t>
            </w:r>
            <w:r w:rsidR="1214BED0" w:rsidRPr="1747913C">
              <w:rPr>
                <w:rFonts w:ascii="Aptos" w:hAnsi="Aptos" w:cs="Arial"/>
                <w:sz w:val="20"/>
                <w:szCs w:val="20"/>
              </w:rPr>
              <w:t>three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27F09" w:rsidRPr="1747913C">
              <w:rPr>
                <w:rFonts w:ascii="Aptos" w:hAnsi="Aptos" w:cs="Arial"/>
                <w:sz w:val="20"/>
                <w:szCs w:val="20"/>
              </w:rPr>
              <w:t xml:space="preserve">genera </w:t>
            </w:r>
            <w:r w:rsidR="62319F37" w:rsidRPr="1747913C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="62319F37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00E27F09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 w:rsidR="73698DE2">
              <w:t xml:space="preserve"> </w:t>
            </w:r>
            <w:r w:rsidR="177BDBD2">
              <w:t>“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Amaduovirus</w:t>
            </w:r>
            <w:proofErr w:type="spellEnd"/>
            <w:r w:rsidR="4442C270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73698DE2" w:rsidRPr="1747913C">
              <w:rPr>
                <w:rFonts w:ascii="Aptos" w:hAnsi="Aptos" w:cs="Arial"/>
                <w:sz w:val="20"/>
                <w:szCs w:val="20"/>
              </w:rPr>
              <w:t>and</w:t>
            </w:r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55B75387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Nyaakvirus</w:t>
            </w:r>
            <w:proofErr w:type="spellEnd"/>
            <w:r w:rsidR="5D18B26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73698DE2" w:rsidRPr="1747913C">
              <w:rPr>
                <w:rFonts w:ascii="Aptos" w:hAnsi="Aptos" w:cs="Arial"/>
                <w:sz w:val="20"/>
                <w:szCs w:val="20"/>
              </w:rPr>
              <w:t xml:space="preserve">; and move 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sv8324</w:t>
            </w:r>
            <w:r w:rsidR="73698DE2" w:rsidRPr="1747913C">
              <w:rPr>
                <w:rFonts w:ascii="Aptos" w:hAnsi="Aptos" w:cs="Arial"/>
                <w:sz w:val="20"/>
                <w:szCs w:val="20"/>
              </w:rPr>
              <w:t xml:space="preserve"> to the genus </w:t>
            </w:r>
            <w:r w:rsidR="09435E19" w:rsidRPr="1747913C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73698DE2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Amaduovirus</w:t>
            </w:r>
            <w:proofErr w:type="spellEnd"/>
            <w:r w:rsidR="74A3B7E7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3DFF4E43" w:rsidR="00A77B8E" w:rsidRPr="002A2339" w:rsidRDefault="3E16FC02" w:rsidP="1747913C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="002A2339" w:rsidRPr="1747913C">
              <w:rPr>
                <w:rFonts w:ascii="Aptos" w:hAnsi="Aptos" w:cs="Arial"/>
                <w:sz w:val="20"/>
              </w:rPr>
              <w:t xml:space="preserve">: </w:t>
            </w:r>
            <w:r w:rsidR="002A2339" w:rsidRPr="002A2339">
              <w:rPr>
                <w:rFonts w:ascii="Aptos" w:hAnsi="Aptos" w:cs="Arial"/>
                <w:sz w:val="20"/>
              </w:rPr>
              <w:t>In</w:t>
            </w:r>
            <w:r w:rsidR="18190795" w:rsidRPr="002A2339">
              <w:rPr>
                <w:rFonts w:ascii="Aptos" w:hAnsi="Aptos" w:cs="Arial"/>
                <w:sz w:val="20"/>
              </w:rPr>
              <w:t xml:space="preserve"> </w:t>
            </w:r>
            <w:r w:rsidR="002A2339" w:rsidRPr="002A2339">
              <w:rPr>
                <w:rFonts w:ascii="Aptos" w:hAnsi="Aptos" w:cs="Arial"/>
                <w:sz w:val="20"/>
              </w:rPr>
              <w:t xml:space="preserve">keeping with the criteria established [3] </w:t>
            </w:r>
            <w:r w:rsidR="00C93D54">
              <w:rPr>
                <w:rFonts w:ascii="Aptos" w:hAnsi="Aptos" w:cs="Arial"/>
                <w:sz w:val="20"/>
              </w:rPr>
              <w:t xml:space="preserve">and </w:t>
            </w:r>
            <w:r w:rsidR="002A2339" w:rsidRPr="002A2339">
              <w:rPr>
                <w:rFonts w:ascii="Aptos" w:hAnsi="Aptos"/>
                <w:sz w:val="20"/>
              </w:rPr>
              <w:t xml:space="preserve">supported by VIRIDIC, </w:t>
            </w:r>
            <w:proofErr w:type="spellStart"/>
            <w:r w:rsidR="002A2339" w:rsidRPr="002A2339">
              <w:rPr>
                <w:rFonts w:ascii="Aptos" w:hAnsi="Aptos"/>
                <w:sz w:val="20"/>
              </w:rPr>
              <w:t>ViPTree</w:t>
            </w:r>
            <w:proofErr w:type="spellEnd"/>
            <w:r w:rsidR="002A2339" w:rsidRPr="002A2339">
              <w:rPr>
                <w:rFonts w:ascii="Aptos" w:hAnsi="Aptos"/>
                <w:sz w:val="20"/>
              </w:rPr>
              <w:t xml:space="preserve">, </w:t>
            </w:r>
            <w:proofErr w:type="spellStart"/>
            <w:r w:rsidR="002A2339" w:rsidRPr="002A2339">
              <w:rPr>
                <w:rFonts w:ascii="Aptos" w:hAnsi="Aptos"/>
                <w:sz w:val="20"/>
              </w:rPr>
              <w:t>CoreGenes</w:t>
            </w:r>
            <w:proofErr w:type="spellEnd"/>
            <w:r w:rsidR="002A2339" w:rsidRPr="002A2339">
              <w:rPr>
                <w:rFonts w:ascii="Aptos" w:hAnsi="Aptos"/>
                <w:sz w:val="20"/>
              </w:rPr>
              <w:t xml:space="preserve"> and phylogenetic analys</w:t>
            </w:r>
            <w:r w:rsidR="002A2339">
              <w:rPr>
                <w:rFonts w:ascii="Aptos" w:hAnsi="Aptos"/>
                <w:sz w:val="20"/>
              </w:rPr>
              <w:t>e</w:t>
            </w:r>
            <w:r w:rsidR="002A2339" w:rsidRPr="002A2339">
              <w:rPr>
                <w:rFonts w:ascii="Aptos" w:hAnsi="Aptos"/>
                <w:sz w:val="20"/>
              </w:rPr>
              <w:t xml:space="preserve">s </w:t>
            </w:r>
            <w:r w:rsidR="002A2339">
              <w:rPr>
                <w:rFonts w:ascii="Aptos" w:hAnsi="Aptos"/>
                <w:sz w:val="20"/>
              </w:rPr>
              <w:t xml:space="preserve">we have sufficient evidence to </w:t>
            </w:r>
            <w:r w:rsidR="00C93D54">
              <w:rPr>
                <w:rFonts w:ascii="Aptos" w:hAnsi="Aptos"/>
                <w:sz w:val="20"/>
              </w:rPr>
              <w:t xml:space="preserve">support the </w:t>
            </w:r>
            <w:r w:rsidR="002A2339" w:rsidRPr="002A2339">
              <w:rPr>
                <w:rFonts w:ascii="Aptos" w:hAnsi="Aptos" w:cs="Arial"/>
                <w:sz w:val="20"/>
              </w:rPr>
              <w:t>creat</w:t>
            </w:r>
            <w:r w:rsidR="00C93D54">
              <w:rPr>
                <w:rFonts w:ascii="Aptos" w:hAnsi="Aptos" w:cs="Arial"/>
                <w:sz w:val="20"/>
              </w:rPr>
              <w:t>ion of</w:t>
            </w:r>
            <w:r w:rsidR="002A2339" w:rsidRPr="002A2339">
              <w:rPr>
                <w:rFonts w:ascii="Aptos" w:hAnsi="Aptos" w:cs="Arial"/>
                <w:sz w:val="20"/>
              </w:rPr>
              <w:t xml:space="preserve"> </w:t>
            </w:r>
            <w:r w:rsidR="005C7E5A">
              <w:rPr>
                <w:rFonts w:ascii="Aptos" w:hAnsi="Aptos" w:cs="Arial"/>
                <w:sz w:val="20"/>
              </w:rPr>
              <w:t xml:space="preserve">this </w:t>
            </w:r>
            <w:r w:rsidR="005C7E5A" w:rsidRPr="002A2339">
              <w:rPr>
                <w:rFonts w:ascii="Aptos" w:hAnsi="Aptos" w:cs="Arial"/>
                <w:sz w:val="20"/>
              </w:rPr>
              <w:t>new</w:t>
            </w:r>
            <w:r w:rsidR="002A2339" w:rsidRPr="002A2339">
              <w:rPr>
                <w:rFonts w:ascii="Aptos" w:hAnsi="Aptos" w:cs="Arial"/>
                <w:sz w:val="20"/>
              </w:rPr>
              <w:t xml:space="preserve"> subfamily, gen</w:t>
            </w:r>
            <w:r w:rsidR="002A2339">
              <w:rPr>
                <w:rFonts w:ascii="Aptos" w:hAnsi="Aptos" w:cs="Arial"/>
                <w:sz w:val="20"/>
              </w:rPr>
              <w:t>era</w:t>
            </w:r>
            <w:r w:rsidR="002A2339" w:rsidRPr="002A2339">
              <w:rPr>
                <w:rFonts w:ascii="Aptos" w:hAnsi="Aptos" w:cs="Arial"/>
                <w:sz w:val="20"/>
              </w:rPr>
              <w:t xml:space="preserve"> and </w:t>
            </w:r>
            <w:r w:rsidR="002A2339">
              <w:rPr>
                <w:rFonts w:ascii="Aptos" w:hAnsi="Aptos" w:cs="Arial"/>
                <w:sz w:val="20"/>
              </w:rPr>
              <w:t xml:space="preserve">associated </w:t>
            </w:r>
            <w:r w:rsidR="002A2339" w:rsidRPr="002A2339">
              <w:rPr>
                <w:rFonts w:ascii="Aptos" w:hAnsi="Aptos"/>
                <w:sz w:val="20"/>
              </w:rPr>
              <w:t>species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1747913C">
        <w:tc>
          <w:tcPr>
            <w:tcW w:w="8926" w:type="dxa"/>
            <w:shd w:val="clear" w:color="auto" w:fill="F2F2F2" w:themeFill="background1" w:themeFillShade="F2"/>
          </w:tcPr>
          <w:p w14:paraId="00CD2219" w14:textId="47755543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7B54D702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1747913C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75C23853" w14:textId="77777777" w:rsidR="005C7E5A" w:rsidRDefault="4CCE1A78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Taxonomic rank(s) affected</w:t>
            </w:r>
            <w:r w:rsidRPr="1747913C">
              <w:rPr>
                <w:rFonts w:ascii="Aptos" w:hAnsi="Aptos" w:cs="Arial"/>
                <w:sz w:val="20"/>
                <w:szCs w:val="20"/>
              </w:rPr>
              <w:t>:</w:t>
            </w:r>
            <w:r w:rsidR="005F2A24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5A638ED0" w14:textId="18C2C906" w:rsidR="4CCE1A78" w:rsidRDefault="005C7E5A" w:rsidP="1747913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5F2A24">
              <w:rPr>
                <w:rFonts w:ascii="Aptos" w:hAnsi="Aptos" w:cs="Arial"/>
                <w:sz w:val="20"/>
                <w:szCs w:val="20"/>
              </w:rPr>
              <w:t>ubfamily, genus and species</w:t>
            </w:r>
          </w:p>
          <w:p w14:paraId="5F2AF3CB" w14:textId="77777777" w:rsidR="1747913C" w:rsidRDefault="1747913C" w:rsidP="1747913C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0449EF" w14:textId="1E680A4A" w:rsidR="4CCE1A78" w:rsidRDefault="4CCE1A78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548895D8" w14:textId="279BE6AE" w:rsidR="4CCE1A78" w:rsidRDefault="4CCE1A78" w:rsidP="1747913C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5F2A24">
              <w:rPr>
                <w:rFonts w:ascii="Aptos" w:hAnsi="Aptos" w:cs="Arial"/>
                <w:i/>
                <w:iCs/>
                <w:sz w:val="20"/>
                <w:szCs w:val="20"/>
              </w:rPr>
              <w:t>Achromobacter</w:t>
            </w:r>
            <w:proofErr w:type="spellEnd"/>
            <w:r w:rsidRPr="1747913C">
              <w:rPr>
                <w:rFonts w:ascii="Aptos" w:hAnsi="Aptos" w:cs="Arial"/>
                <w:sz w:val="20"/>
                <w:szCs w:val="20"/>
              </w:rPr>
              <w:t xml:space="preserve"> phage JWX belongs to the genus 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which was created via Taxonomy Proposals 2018.007B.A.v4.rename137gen6sp and 2016.020a-dB.A.v1.Jwxvirus. This genus currently contains two species: 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JWX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005C7F0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sv8324</w:t>
            </w:r>
          </w:p>
          <w:p w14:paraId="28502A1B" w14:textId="77777777" w:rsidR="1747913C" w:rsidRDefault="1747913C" w:rsidP="1747913C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79D5E3" w14:textId="18955357" w:rsidR="4CCE1A78" w:rsidRDefault="4CCE1A78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2F37BDF7" w14:textId="3EB90D13" w:rsidR="4CCE1A78" w:rsidRDefault="4CCE1A78" w:rsidP="1747913C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1747913C">
              <w:rPr>
                <w:rFonts w:ascii="Aptos" w:hAnsi="Aptos" w:cs="Arial"/>
                <w:sz w:val="20"/>
                <w:szCs w:val="20"/>
              </w:rPr>
              <w:t>To create a new subfamily “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Alvaradovirinae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with three genera “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”,</w:t>
            </w:r>
            <w:r>
              <w:t xml:space="preserve"> “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Amaduovirus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” </w:t>
            </w:r>
            <w:r w:rsidRPr="1747913C">
              <w:rPr>
                <w:rFonts w:ascii="Aptos" w:hAnsi="Aptos" w:cs="Arial"/>
                <w:sz w:val="20"/>
                <w:szCs w:val="20"/>
              </w:rPr>
              <w:t>and</w:t>
            </w: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Nyaakvirus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; and move 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Steinhofvirus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sv8324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 to the genus “</w:t>
            </w:r>
            <w:proofErr w:type="spellStart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Amaduovirus</w:t>
            </w:r>
            <w:proofErr w:type="spellEnd"/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79720172" w14:textId="4D93F0EC" w:rsidR="1747913C" w:rsidRDefault="1747913C" w:rsidP="1747913C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BBAEB4E" w14:textId="3D1E533A" w:rsidR="07456AB5" w:rsidRDefault="07456AB5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Demarcation criteria:</w:t>
            </w:r>
            <w:r w:rsidR="18190795" w:rsidRPr="174791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</w:p>
          <w:p w14:paraId="716A05F6" w14:textId="0B864DC3" w:rsidR="2ABD9429" w:rsidRDefault="2ABD9429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sz w:val="20"/>
                <w:szCs w:val="20"/>
              </w:rPr>
              <w:t xml:space="preserve">Genus demarcation criteria: An intergenomic similarity cut-off of 70%, a combination of average nucleotide identity and alignment fraction is used to determine genera demarcation. Members of the same genus have &gt;70% intergenomic similarity and cluster tightly in marker gene phylogenies.  </w:t>
            </w:r>
          </w:p>
          <w:p w14:paraId="4D448A20" w14:textId="77777777" w:rsidR="00B93118" w:rsidRDefault="2ABD9429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sz w:val="20"/>
                <w:szCs w:val="20"/>
              </w:rPr>
              <w:t>Species demarcation criteria: A demarcation value of 95% intergenomic similarity was used to define different species according to intergenomic similarity. Members of the same species have &gt;95% intergenomic similarity.</w:t>
            </w:r>
            <w:r w:rsidR="006F5999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BF9B7E8" w14:textId="62E0E879" w:rsidR="00B93118" w:rsidRDefault="00B93118" w:rsidP="1747913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 demarcation criteria:</w:t>
            </w:r>
          </w:p>
          <w:p w14:paraId="31ABA726" w14:textId="46112855" w:rsidR="2ABD9429" w:rsidRDefault="0022243C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0022243C">
              <w:rPr>
                <w:rFonts w:ascii="Aptos" w:hAnsi="Aptos" w:cs="Arial"/>
                <w:sz w:val="20"/>
                <w:szCs w:val="20"/>
              </w:rPr>
              <w:t>Subfamilies are to be created when two or more genera are related below the family level. In practical terms, this usually means that they share a low degree of sequence similarity (usually about 40-50%) and that the genera form a clade in a marker tree phylogeny [</w:t>
            </w:r>
            <w:r w:rsidR="002A2339">
              <w:rPr>
                <w:rFonts w:ascii="Aptos" w:hAnsi="Aptos" w:cs="Arial"/>
                <w:sz w:val="20"/>
                <w:szCs w:val="20"/>
              </w:rPr>
              <w:t>3</w:t>
            </w:r>
            <w:r w:rsidRPr="0022243C">
              <w:rPr>
                <w:rFonts w:ascii="Aptos" w:hAnsi="Aptos" w:cs="Arial"/>
                <w:sz w:val="20"/>
                <w:szCs w:val="20"/>
              </w:rPr>
              <w:t>].</w:t>
            </w:r>
          </w:p>
          <w:p w14:paraId="65433BD1" w14:textId="24EE0958" w:rsidR="1747913C" w:rsidRDefault="1747913C" w:rsidP="1747913C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404D8B91" w14:textId="16D77E8B" w:rsidR="00A77B8E" w:rsidRPr="00BE4F5A" w:rsidRDefault="3E16FC0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1747913C">
              <w:rPr>
                <w:rFonts w:ascii="Aptos" w:hAnsi="Aptos" w:cs="Arial"/>
                <w:i/>
                <w:iCs/>
                <w:sz w:val="20"/>
                <w:szCs w:val="20"/>
              </w:rPr>
              <w:t>Justification</w:t>
            </w:r>
            <w:r w:rsidRPr="1747913C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C93D54" w:rsidRPr="00C93D54">
              <w:rPr>
                <w:rFonts w:ascii="Aptos" w:hAnsi="Aptos" w:cs="Arial"/>
                <w:sz w:val="20"/>
                <w:szCs w:val="20"/>
              </w:rPr>
              <w:t xml:space="preserve">In keeping with the criteria established [3] and supported by VIRIDIC, </w:t>
            </w:r>
            <w:proofErr w:type="spellStart"/>
            <w:r w:rsidR="00C93D54" w:rsidRPr="00C93D54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C93D54" w:rsidRPr="00C93D54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C93D54" w:rsidRPr="00C93D54">
              <w:rPr>
                <w:rFonts w:ascii="Aptos" w:hAnsi="Aptos" w:cs="Arial"/>
                <w:sz w:val="20"/>
                <w:szCs w:val="20"/>
              </w:rPr>
              <w:t>CoreGenes</w:t>
            </w:r>
            <w:proofErr w:type="spellEnd"/>
            <w:r w:rsidR="00C93D54" w:rsidRPr="00C93D54">
              <w:rPr>
                <w:rFonts w:ascii="Aptos" w:hAnsi="Aptos" w:cs="Arial"/>
                <w:sz w:val="20"/>
                <w:szCs w:val="20"/>
              </w:rPr>
              <w:t xml:space="preserve"> and phylogenetic analyses we have sufficient evidence to support the creation of this  new subfamily, genera and associated species</w:t>
            </w:r>
          </w:p>
          <w:p w14:paraId="79F0111D" w14:textId="064AAECC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95565E2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1.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8;49(D1):D10-D17.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3C327574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2.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: 10.3390/v12111268. PMID: 33172115; PMCID: PMC7694805. http://kronos.icbm.uni-oldenburg.de/viridic/ </w:t>
            </w:r>
          </w:p>
          <w:p w14:paraId="76D0C19F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3.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41A0F2D6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4.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5690E22B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5.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</w:p>
          <w:p w14:paraId="0F417114" w14:textId="77777777" w:rsidR="00A47BEE" w:rsidRPr="00A47BE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6.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  <w:t xml:space="preserve">Lemoine F, Correia D,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2;47(W1):W260-W265.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11D22677" w14:textId="5C9BBD7E" w:rsidR="00953FFE" w:rsidRDefault="00A47BEE" w:rsidP="00A47BEE">
            <w:pPr>
              <w:rPr>
                <w:rFonts w:ascii="Aptos" w:hAnsi="Aptos" w:cs="Arial"/>
                <w:sz w:val="20"/>
                <w:szCs w:val="20"/>
              </w:rPr>
            </w:pPr>
            <w:r w:rsidRPr="00A47BEE">
              <w:rPr>
                <w:rFonts w:ascii="Aptos" w:hAnsi="Aptos" w:cs="Arial"/>
                <w:sz w:val="20"/>
                <w:szCs w:val="20"/>
              </w:rPr>
              <w:t>7.</w:t>
            </w:r>
            <w:r w:rsidRPr="00A47BEE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Letunic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 I, Bork P. Interactive Tree Of Life (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 xml:space="preserve">) v5: an online tool for phylogenetic tree display and annotation. Nucleic Acids Res. 2021 Jul 2;49(W1):W293-W296. 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A47BEE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A47BEE">
              <w:rPr>
                <w:rFonts w:ascii="Aptos" w:hAnsi="Aptos" w:cs="Arial"/>
                <w:sz w:val="20"/>
                <w:szCs w:val="20"/>
              </w:rPr>
              <w:t>/gkab301. PMID: 33885785; PMCID: PMC8265157.</w:t>
            </w:r>
          </w:p>
          <w:p w14:paraId="0078144E" w14:textId="4943885E" w:rsidR="005F2A24" w:rsidRPr="00BE4F5A" w:rsidRDefault="005F2A24" w:rsidP="00A47BE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8. </w:t>
            </w:r>
            <w:r>
              <w:t xml:space="preserve">        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Dereeper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A,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Guignon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V, Blanc G,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Audic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S, Buffet S,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Chevenet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F,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Dufayard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JF, Guindon S,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V, Lescot M,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Claverie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JM,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O. Phylogeny.fr: robust phylogenetic analysis for the non-specialist. Nucleic Acids Res. 2008 Jul 1;36(Web Server issue):W465-9.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/gkn180. </w:t>
            </w:r>
            <w:proofErr w:type="spellStart"/>
            <w:r w:rsidRPr="005F2A24">
              <w:rPr>
                <w:rFonts w:ascii="Aptos" w:hAnsi="Aptos" w:cs="Arial"/>
                <w:sz w:val="20"/>
                <w:szCs w:val="20"/>
              </w:rPr>
              <w:t>Epub</w:t>
            </w:r>
            <w:proofErr w:type="spellEnd"/>
            <w:r w:rsidRPr="005F2A24">
              <w:rPr>
                <w:rFonts w:ascii="Aptos" w:hAnsi="Aptos" w:cs="Arial"/>
                <w:sz w:val="20"/>
                <w:szCs w:val="20"/>
              </w:rPr>
              <w:t xml:space="preserve"> 2008 Apr 19. PMID: 18424797; PMCID: PMC2447785.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1747913C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A606671" w:rsidR="00FC2269" w:rsidRPr="00220A26" w:rsidRDefault="00FC2269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1747913C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1747913C">
        <w:trPr>
          <w:trHeight w:val="71"/>
        </w:trPr>
        <w:tc>
          <w:tcPr>
            <w:tcW w:w="2263" w:type="dxa"/>
          </w:tcPr>
          <w:p w14:paraId="1EBF10D0" w14:textId="736744D8" w:rsidR="00FC2269" w:rsidRPr="0088656D" w:rsidRDefault="0088656D" w:rsidP="1747913C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88656D">
              <w:rPr>
                <w:rFonts w:ascii="Aptos" w:hAnsi="Aptos" w:cs="Arial"/>
                <w:sz w:val="20"/>
                <w:szCs w:val="20"/>
              </w:rPr>
              <w:t>Alvaradovirinae</w:t>
            </w:r>
            <w:proofErr w:type="spellEnd"/>
            <w:r w:rsidRPr="0088656D">
              <w:rPr>
                <w:rFonts w:ascii="Aptos" w:hAnsi="Aptos" w:cs="Arial"/>
                <w:sz w:val="20"/>
                <w:szCs w:val="20"/>
              </w:rPr>
              <w:t xml:space="preserve"> VIRIDIC_heatmap.xlsx</w:t>
            </w:r>
          </w:p>
        </w:tc>
        <w:tc>
          <w:tcPr>
            <w:tcW w:w="6663" w:type="dxa"/>
          </w:tcPr>
          <w:p w14:paraId="22F4B256" w14:textId="0675888E" w:rsidR="00FC2269" w:rsidRPr="0088656D" w:rsidRDefault="0088656D" w:rsidP="1747913C">
            <w:pPr>
              <w:rPr>
                <w:rFonts w:ascii="Aptos" w:hAnsi="Aptos" w:cs="Arial"/>
                <w:sz w:val="20"/>
                <w:szCs w:val="20"/>
              </w:rPr>
            </w:pPr>
            <w:r w:rsidRPr="0088656D">
              <w:rPr>
                <w:rFonts w:ascii="Aptos" w:hAnsi="Aptos" w:cs="Arial"/>
                <w:sz w:val="20"/>
                <w:szCs w:val="20"/>
              </w:rPr>
              <w:t>VIRIDIC intergenomic similarity data</w:t>
            </w:r>
          </w:p>
        </w:tc>
      </w:tr>
      <w:tr w:rsidR="00FC2269" w:rsidRPr="009F7856" w14:paraId="1669401A" w14:textId="77777777" w:rsidTr="1747913C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5D1EAA8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F660C13" w14:textId="77777777" w:rsidR="006C6946" w:rsidRDefault="006C6946" w:rsidP="00A722B5">
      <w:pPr>
        <w:rPr>
          <w:rFonts w:ascii="Aptos" w:hAnsi="Aptos"/>
          <w:b/>
          <w:bCs/>
        </w:rPr>
      </w:pPr>
    </w:p>
    <w:p w14:paraId="7A914F29" w14:textId="77777777" w:rsidR="006C6946" w:rsidRDefault="006C6946" w:rsidP="00A722B5">
      <w:pPr>
        <w:rPr>
          <w:rFonts w:ascii="Aptos" w:hAnsi="Aptos"/>
          <w:b/>
          <w:bCs/>
        </w:rPr>
      </w:pPr>
    </w:p>
    <w:p w14:paraId="3C09F2F9" w14:textId="77777777" w:rsidR="006C6946" w:rsidRDefault="006C6946" w:rsidP="00A722B5">
      <w:pPr>
        <w:rPr>
          <w:rFonts w:ascii="Aptos" w:hAnsi="Aptos"/>
          <w:b/>
          <w:bCs/>
        </w:rPr>
      </w:pPr>
    </w:p>
    <w:p w14:paraId="75013C11" w14:textId="77777777" w:rsidR="006C6946" w:rsidRDefault="006C6946" w:rsidP="00A722B5">
      <w:pPr>
        <w:rPr>
          <w:rFonts w:ascii="Aptos" w:hAnsi="Aptos"/>
          <w:b/>
          <w:bCs/>
        </w:rPr>
      </w:pPr>
    </w:p>
    <w:p w14:paraId="4923BA8A" w14:textId="77777777" w:rsidR="006C6946" w:rsidRDefault="006C6946" w:rsidP="00A722B5">
      <w:pPr>
        <w:rPr>
          <w:rFonts w:ascii="Aptos" w:hAnsi="Aptos"/>
          <w:b/>
          <w:bCs/>
        </w:rPr>
      </w:pPr>
    </w:p>
    <w:p w14:paraId="05A94189" w14:textId="77777777" w:rsidR="006C6946" w:rsidRDefault="006C6946" w:rsidP="00A722B5">
      <w:pPr>
        <w:rPr>
          <w:rFonts w:ascii="Aptos" w:hAnsi="Aptos"/>
          <w:b/>
          <w:bCs/>
        </w:rPr>
      </w:pPr>
    </w:p>
    <w:p w14:paraId="4596DEFC" w14:textId="7AB8267B" w:rsidR="00A722B5" w:rsidRDefault="00A722B5" w:rsidP="00A722B5">
      <w:pPr>
        <w:rPr>
          <w:rFonts w:ascii="Aptos" w:hAnsi="Aptos"/>
          <w:color w:val="0070C0"/>
        </w:rPr>
      </w:pPr>
      <w:r w:rsidRPr="008E2A1A">
        <w:rPr>
          <w:rFonts w:ascii="Aptos" w:hAnsi="Aptos"/>
          <w:b/>
          <w:bCs/>
        </w:rPr>
        <w:t>Table 1</w:t>
      </w:r>
      <w:r w:rsidR="00E27F09">
        <w:rPr>
          <w:rFonts w:ascii="Aptos" w:hAnsi="Aptos"/>
          <w:b/>
          <w:bCs/>
        </w:rPr>
        <w:t>A</w:t>
      </w:r>
      <w:r w:rsidRPr="008E2A1A">
        <w:rPr>
          <w:rFonts w:ascii="Aptos" w:hAnsi="Aptos"/>
          <w:b/>
          <w:bCs/>
        </w:rPr>
        <w:t>.</w:t>
      </w:r>
      <w:r>
        <w:rPr>
          <w:rFonts w:ascii="Aptos" w:hAnsi="Aptos"/>
        </w:rPr>
        <w:t xml:space="preserve">  </w:t>
      </w:r>
      <w:r w:rsidR="006C6946">
        <w:rPr>
          <w:rFonts w:ascii="Aptos" w:hAnsi="Aptos"/>
        </w:rPr>
        <w:t xml:space="preserve">To add one new species to the genus </w:t>
      </w:r>
      <w:proofErr w:type="spellStart"/>
      <w:r w:rsidR="006C6946" w:rsidRPr="006C6946">
        <w:rPr>
          <w:rFonts w:ascii="Aptos" w:hAnsi="Aptos"/>
          <w:i/>
          <w:iCs/>
        </w:rPr>
        <w:t>Steinhofvirus</w:t>
      </w:r>
      <w:proofErr w:type="spellEnd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59"/>
        <w:gridCol w:w="1570"/>
        <w:gridCol w:w="1315"/>
        <w:gridCol w:w="994"/>
        <w:gridCol w:w="1323"/>
        <w:gridCol w:w="991"/>
        <w:gridCol w:w="977"/>
        <w:gridCol w:w="683"/>
      </w:tblGrid>
      <w:tr w:rsidR="00A722B5" w14:paraId="7294EE22" w14:textId="77777777" w:rsidTr="006C6946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1BD" w14:textId="3AD50681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17C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7303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013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A567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4BB7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8984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6539" w14:textId="77777777" w:rsidR="00A722B5" w:rsidRDefault="00A722B5" w:rsidP="00CA67F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FD5C57" w14:paraId="32DC2407" w14:textId="77777777" w:rsidTr="006C6946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14F" w14:textId="2E49425A" w:rsidR="00FE55E6" w:rsidRP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6C6946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6C6946">
              <w:rPr>
                <w:rFonts w:ascii="Aptos" w:hAnsi="Aptos"/>
                <w:sz w:val="20"/>
                <w:szCs w:val="20"/>
              </w:rPr>
              <w:t xml:space="preserve"> phage SE2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CAF" w14:textId="38618824" w:rsidR="00FE55E6" w:rsidRPr="00485787" w:rsidRDefault="006C6946" w:rsidP="00FE55E6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C6946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C6946">
              <w:rPr>
                <w:rFonts w:ascii="Aptos" w:hAnsi="Aptos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5E8" w14:textId="6E16E518" w:rsid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ED3" w14:textId="786D6D95" w:rsid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1AC" w14:textId="3E5D1CD6" w:rsidR="00FE55E6" w:rsidRP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r w:rsidRPr="006C6946">
              <w:rPr>
                <w:rFonts w:ascii="Aptos" w:hAnsi="Aptos"/>
                <w:sz w:val="20"/>
                <w:szCs w:val="20"/>
              </w:rPr>
              <w:t>OQ817844.1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857" w14:textId="1E7D637F" w:rsid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r w:rsidRPr="006C6946">
              <w:rPr>
                <w:rFonts w:ascii="Aptos" w:hAnsi="Aptos"/>
                <w:sz w:val="20"/>
                <w:szCs w:val="20"/>
              </w:rPr>
              <w:t>45648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7D1" w14:textId="0C5E528B" w:rsid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7F8" w14:textId="1991677B" w:rsidR="00FE55E6" w:rsidRDefault="006C6946" w:rsidP="00FE55E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</w:tbl>
    <w:p w14:paraId="411E137E" w14:textId="77777777" w:rsidR="00E8230F" w:rsidRDefault="00E8230F" w:rsidP="00A722B5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</w:p>
    <w:p w14:paraId="6620AD98" w14:textId="42B1377E" w:rsidR="00E2614C" w:rsidRDefault="00E2614C" w:rsidP="00E2614C">
      <w:pPr>
        <w:rPr>
          <w:rFonts w:ascii="Aptos" w:hAnsi="Aptos"/>
          <w:color w:val="0070C0"/>
        </w:rPr>
      </w:pPr>
      <w:r w:rsidRPr="008E2A1A">
        <w:rPr>
          <w:rFonts w:ascii="Aptos" w:hAnsi="Aptos"/>
          <w:b/>
          <w:bCs/>
        </w:rPr>
        <w:t>Table 1</w:t>
      </w:r>
      <w:r>
        <w:rPr>
          <w:rFonts w:ascii="Aptos" w:hAnsi="Aptos"/>
          <w:b/>
          <w:bCs/>
        </w:rPr>
        <w:t>B</w:t>
      </w:r>
      <w:r w:rsidRPr="008E2A1A">
        <w:rPr>
          <w:rFonts w:ascii="Aptos" w:hAnsi="Aptos"/>
          <w:b/>
          <w:bCs/>
        </w:rPr>
        <w:t>.</w:t>
      </w:r>
      <w:r>
        <w:rPr>
          <w:rFonts w:ascii="Aptos" w:hAnsi="Aptos"/>
        </w:rPr>
        <w:t xml:space="preserve">  </w:t>
      </w:r>
      <w:r w:rsidR="006C6946">
        <w:rPr>
          <w:rFonts w:ascii="Aptos" w:hAnsi="Aptos"/>
        </w:rPr>
        <w:t>To create a new genus (</w:t>
      </w:r>
      <w:proofErr w:type="spellStart"/>
      <w:r w:rsidR="006C6946" w:rsidRPr="006C6946">
        <w:rPr>
          <w:rFonts w:ascii="Aptos" w:hAnsi="Aptos"/>
          <w:i/>
          <w:iCs/>
        </w:rPr>
        <w:t>Amaduovirus</w:t>
      </w:r>
      <w:proofErr w:type="spellEnd"/>
      <w:r w:rsidR="006C6946">
        <w:rPr>
          <w:rFonts w:ascii="Aptos" w:hAnsi="Aptos"/>
        </w:rPr>
        <w:t>) with two species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72"/>
        <w:gridCol w:w="1568"/>
        <w:gridCol w:w="1315"/>
        <w:gridCol w:w="994"/>
        <w:gridCol w:w="1312"/>
        <w:gridCol w:w="991"/>
        <w:gridCol w:w="977"/>
        <w:gridCol w:w="683"/>
      </w:tblGrid>
      <w:tr w:rsidR="00E2614C" w14:paraId="589A7862" w14:textId="77777777" w:rsidTr="00E2614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9483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1579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790F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ED78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F732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3ADE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1A50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235C" w14:textId="77777777" w:rsidR="00E2614C" w:rsidRDefault="00E2614C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E2614C" w14:paraId="7CB92C73" w14:textId="77777777" w:rsidTr="00E2614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A19" w14:textId="5B9B467C" w:rsidR="00E2614C" w:rsidRPr="00FE55E6" w:rsidRDefault="006C6946" w:rsidP="00A9443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phage </w:t>
            </w:r>
            <w:r w:rsidRPr="006C6946">
              <w:rPr>
                <w:rFonts w:ascii="Aptos" w:hAnsi="Aptos"/>
                <w:sz w:val="20"/>
                <w:szCs w:val="20"/>
              </w:rPr>
              <w:t>AMA2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A66" w14:textId="5239C699" w:rsidR="00E2614C" w:rsidRPr="00485787" w:rsidRDefault="006C6946" w:rsidP="00A94438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C6946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C694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6946">
              <w:rPr>
                <w:rFonts w:ascii="Aptos" w:hAnsi="Aptos"/>
                <w:i/>
                <w:iCs/>
                <w:sz w:val="20"/>
                <w:szCs w:val="20"/>
              </w:rPr>
              <w:t>marplatensis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250" w14:textId="23807BF7" w:rsidR="00E2614C" w:rsidRDefault="006C6946" w:rsidP="00A9443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</w:t>
            </w:r>
            <w:r w:rsidR="00E8230F">
              <w:rPr>
                <w:rFonts w:ascii="Aptos" w:hAnsi="Aptos"/>
                <w:sz w:val="20"/>
                <w:szCs w:val="20"/>
              </w:rPr>
              <w:t>v</w:t>
            </w:r>
            <w:r w:rsidR="003C2407">
              <w:rPr>
                <w:rFonts w:ascii="Aptos" w:hAnsi="Aptos"/>
                <w:sz w:val="20"/>
                <w:szCs w:val="20"/>
              </w:rPr>
              <w:t>irus</w:t>
            </w:r>
            <w:proofErr w:type="spellEnd"/>
            <w:r w:rsidR="003C240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F0" w14:textId="1D1063AD" w:rsidR="00E2614C" w:rsidRDefault="00E8230F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0CA" w14:textId="7081BDE7" w:rsidR="00E2614C" w:rsidRPr="00FE55E6" w:rsidRDefault="006C6946" w:rsidP="00A94438">
            <w:pPr>
              <w:rPr>
                <w:rFonts w:ascii="Aptos" w:hAnsi="Aptos"/>
                <w:sz w:val="20"/>
                <w:szCs w:val="20"/>
              </w:rPr>
            </w:pPr>
            <w:r w:rsidRPr="006C6946">
              <w:rPr>
                <w:rFonts w:ascii="Aptos" w:hAnsi="Aptos"/>
                <w:sz w:val="20"/>
                <w:szCs w:val="20"/>
              </w:rPr>
              <w:t>MT241607.1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9CA" w14:textId="65AE28BA" w:rsidR="00E2614C" w:rsidRDefault="006C6946" w:rsidP="00A94438">
            <w:pPr>
              <w:rPr>
                <w:rFonts w:ascii="Aptos" w:hAnsi="Aptos"/>
                <w:sz w:val="20"/>
                <w:szCs w:val="20"/>
              </w:rPr>
            </w:pPr>
            <w:r w:rsidRPr="006C6946">
              <w:rPr>
                <w:rFonts w:ascii="Aptos" w:hAnsi="Aptos"/>
                <w:sz w:val="20"/>
                <w:szCs w:val="20"/>
              </w:rPr>
              <w:t>45901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D24" w14:textId="3AD6F7E0" w:rsidR="00E2614C" w:rsidRDefault="006C6946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835" w14:textId="14ADF0CA" w:rsidR="00E2614C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1(*)</w:t>
            </w:r>
          </w:p>
        </w:tc>
      </w:tr>
      <w:tr w:rsidR="006C6946" w14:paraId="460BBED3" w14:textId="77777777" w:rsidTr="00E2614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D20" w14:textId="654D58E3" w:rsidR="006C6946" w:rsidRPr="00FE55E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3C2C31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3C2C31">
              <w:rPr>
                <w:rFonts w:ascii="Aptos" w:hAnsi="Aptos"/>
                <w:sz w:val="20"/>
                <w:szCs w:val="20"/>
              </w:rPr>
              <w:t xml:space="preserve"> phage 83-24</w:t>
            </w:r>
            <w:r>
              <w:rPr>
                <w:rFonts w:ascii="Aptos" w:hAnsi="Aptos"/>
                <w:sz w:val="20"/>
                <w:szCs w:val="20"/>
              </w:rPr>
              <w:t xml:space="preserve"> (**)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015" w14:textId="602705C8" w:rsidR="006C6946" w:rsidRPr="00485787" w:rsidRDefault="003C2C31" w:rsidP="00A94438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3C2C31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3C2C31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2C31">
              <w:rPr>
                <w:rFonts w:ascii="Aptos" w:hAnsi="Aptos"/>
                <w:i/>
                <w:iCs/>
                <w:sz w:val="20"/>
                <w:szCs w:val="20"/>
              </w:rPr>
              <w:t>xylosoxidans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5BB" w14:textId="116C3869" w:rsidR="006C694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84D" w14:textId="5D0B4217" w:rsidR="006C694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4FD" w14:textId="3DD096E0" w:rsidR="006C6946" w:rsidRPr="00FE55E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 w:rsidRPr="003C2C31">
              <w:rPr>
                <w:rFonts w:ascii="Aptos" w:hAnsi="Aptos"/>
                <w:sz w:val="20"/>
                <w:szCs w:val="20"/>
              </w:rPr>
              <w:t>KP202970.</w:t>
            </w: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801" w14:textId="1E92F7DB" w:rsidR="006C694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 w:rsidRPr="003C2C31">
              <w:rPr>
                <w:rFonts w:ascii="Aptos" w:hAnsi="Aptos"/>
                <w:sz w:val="20"/>
                <w:szCs w:val="20"/>
              </w:rPr>
              <w:t>48216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F37" w14:textId="51A1281F" w:rsidR="006C694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415" w14:textId="0638EBEA" w:rsidR="006C6946" w:rsidRDefault="003C2C31" w:rsidP="00A9443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</w:tbl>
    <w:p w14:paraId="417F3E0D" w14:textId="00EBE258" w:rsidR="003C2C31" w:rsidRDefault="003C2C31" w:rsidP="00E2614C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 xml:space="preserve">(*) discovered using </w:t>
      </w:r>
      <w:proofErr w:type="spellStart"/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>tRNAscan</w:t>
      </w:r>
      <w:proofErr w:type="spellEnd"/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>-SE (</w:t>
      </w:r>
      <w:hyperlink r:id="rId12" w:history="1">
        <w:r w:rsidRPr="002574DF">
          <w:rPr>
            <w:rStyle w:val="Hyperlink"/>
            <w:rFonts w:ascii="Aptos" w:hAnsi="Aptos" w:cs="Arial"/>
            <w:b/>
            <w:bCs/>
            <w:sz w:val="20"/>
            <w:szCs w:val="20"/>
            <w:lang w:val="en-GB"/>
          </w:rPr>
          <w:t>https://lowelab.ucsc.edu/tRNAscan-SE/</w:t>
        </w:r>
      </w:hyperlink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>)</w:t>
      </w:r>
    </w:p>
    <w:p w14:paraId="7F84F267" w14:textId="6218904E" w:rsidR="00E8230F" w:rsidRDefault="003C2C31" w:rsidP="00E2614C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 xml:space="preserve">(**) transferred from  </w:t>
      </w:r>
      <w:proofErr w:type="spellStart"/>
      <w:r w:rsidRPr="003C2C31">
        <w:rPr>
          <w:rFonts w:ascii="Aptos" w:hAnsi="Aptos" w:cs="Arial"/>
          <w:b/>
          <w:bCs/>
          <w:i/>
          <w:iCs/>
          <w:color w:val="0000FF"/>
          <w:sz w:val="20"/>
          <w:szCs w:val="20"/>
          <w:lang w:val="en-GB"/>
        </w:rPr>
        <w:t>Steinhofvirus</w:t>
      </w:r>
      <w:proofErr w:type="spellEnd"/>
      <w:r>
        <w:rPr>
          <w:rFonts w:ascii="Aptos" w:hAnsi="Aptos" w:cs="Arial"/>
          <w:b/>
          <w:bCs/>
          <w:color w:val="0000FF"/>
          <w:sz w:val="20"/>
          <w:szCs w:val="20"/>
          <w:lang w:val="en-GB"/>
        </w:rPr>
        <w:t xml:space="preserve"> due to the level of DNA sequence similarity</w:t>
      </w:r>
    </w:p>
    <w:p w14:paraId="107B5049" w14:textId="77777777" w:rsidR="003C2C31" w:rsidRDefault="003C2C31" w:rsidP="00E2614C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</w:p>
    <w:p w14:paraId="0C997CAB" w14:textId="2B65E9EB" w:rsidR="003C2407" w:rsidRDefault="003C2407" w:rsidP="003C2407">
      <w:pPr>
        <w:rPr>
          <w:rFonts w:ascii="Aptos" w:hAnsi="Aptos"/>
          <w:color w:val="0070C0"/>
        </w:rPr>
      </w:pPr>
      <w:r w:rsidRPr="008E2A1A">
        <w:rPr>
          <w:rFonts w:ascii="Aptos" w:hAnsi="Aptos"/>
          <w:b/>
          <w:bCs/>
        </w:rPr>
        <w:t>Table 1</w:t>
      </w:r>
      <w:r>
        <w:rPr>
          <w:rFonts w:ascii="Aptos" w:hAnsi="Aptos"/>
          <w:b/>
          <w:bCs/>
        </w:rPr>
        <w:t>C</w:t>
      </w:r>
      <w:r w:rsidRPr="008E2A1A">
        <w:rPr>
          <w:rFonts w:ascii="Aptos" w:hAnsi="Aptos"/>
          <w:b/>
          <w:bCs/>
        </w:rPr>
        <w:t>.</w:t>
      </w:r>
      <w:r>
        <w:rPr>
          <w:rFonts w:ascii="Aptos" w:hAnsi="Aptos"/>
        </w:rPr>
        <w:t xml:space="preserve">  Characteristics of the phages </w:t>
      </w:r>
      <w:r w:rsidR="00614BBE">
        <w:rPr>
          <w:rFonts w:ascii="Aptos" w:hAnsi="Aptos"/>
        </w:rPr>
        <w:t xml:space="preserve">belonging to the genus </w:t>
      </w:r>
      <w:proofErr w:type="spellStart"/>
      <w:r w:rsidR="00614BBE" w:rsidRPr="00614BBE">
        <w:rPr>
          <w:rFonts w:ascii="Aptos" w:hAnsi="Aptos"/>
          <w:i/>
          <w:iCs/>
        </w:rPr>
        <w:t>Nyaakvirus</w:t>
      </w:r>
      <w:proofErr w:type="spellEnd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66"/>
        <w:gridCol w:w="1568"/>
        <w:gridCol w:w="1315"/>
        <w:gridCol w:w="994"/>
        <w:gridCol w:w="1318"/>
        <w:gridCol w:w="991"/>
        <w:gridCol w:w="977"/>
        <w:gridCol w:w="683"/>
      </w:tblGrid>
      <w:tr w:rsidR="003C2407" w14:paraId="23146404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5955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0F10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E87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D23B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FC53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BC4B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F4F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6CE" w14:textId="77777777" w:rsidR="003C2407" w:rsidRPr="0067530B" w:rsidRDefault="003C2407" w:rsidP="00A9443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6753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03702A" w14:paraId="6391EAF9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323" w14:textId="205A9B09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tuull</w:t>
            </w:r>
            <w:proofErr w:type="spellEnd"/>
            <w:r w:rsidR="00614BBE">
              <w:rPr>
                <w:rFonts w:ascii="Aptos" w:hAnsi="Aptos"/>
                <w:sz w:val="20"/>
                <w:szCs w:val="20"/>
              </w:rPr>
              <w:t xml:space="preserve"> (partial)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CB5" w14:textId="4BF28AEE" w:rsidR="0003702A" w:rsidRPr="0003702A" w:rsidRDefault="00614BB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ruhlandii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212D" w14:textId="51A887ED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7185" w14:textId="6E29CF0D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1AC" w14:textId="1EAD2457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OR396896.1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B9C" w14:textId="47C8C28D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 w:rsidRPr="00614BBE">
              <w:rPr>
                <w:rFonts w:ascii="Aptos" w:hAnsi="Aptos"/>
                <w:sz w:val="20"/>
                <w:szCs w:val="20"/>
              </w:rPr>
              <w:t>47460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505" w14:textId="558EE0F2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F73F" w14:textId="116109D2" w:rsidR="0003702A" w:rsidRPr="0067530B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3010B7FB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069" w14:textId="56F2C243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vB_AxyS_19-32_Axy06</w:t>
            </w:r>
            <w:r w:rsidR="00614BBE">
              <w:rPr>
                <w:rFonts w:ascii="Aptos" w:hAnsi="Aptos"/>
                <w:sz w:val="20"/>
                <w:szCs w:val="20"/>
              </w:rPr>
              <w:t xml:space="preserve"> (*)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B2F2" w14:textId="3F6CD192" w:rsidR="0003702A" w:rsidRPr="0003702A" w:rsidRDefault="00614BB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xylosoxidans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614BBE">
              <w:rPr>
                <w:rFonts w:ascii="Aptos" w:hAnsi="Aptos"/>
                <w:sz w:val="20"/>
                <w:szCs w:val="20"/>
              </w:rPr>
              <w:t>I2BC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FD9" w14:textId="15058BCC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AE4" w14:textId="6C7B24A9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C78" w14:textId="7357E66F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MK962627.1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A50" w14:textId="2A36D859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 w:rsidRPr="00614BBE">
              <w:rPr>
                <w:rFonts w:ascii="Aptos" w:hAnsi="Aptos"/>
                <w:sz w:val="20"/>
                <w:szCs w:val="20"/>
              </w:rPr>
              <w:t>45830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623" w14:textId="2F8CDB44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399" w14:textId="3CCD32FC" w:rsidR="0003702A" w:rsidRPr="0067530B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67530B"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1728BE87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208" w14:textId="37095340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ehaak_LB5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914" w14:textId="249B601B" w:rsidR="0003702A" w:rsidRPr="0003702A" w:rsidRDefault="00614BB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246" w14:textId="1D213D9B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F24" w14:textId="46410CB8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509" w14:textId="0E301F72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OQ817833.1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383" w14:textId="4E93726C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 w:rsidRPr="00614BBE">
              <w:rPr>
                <w:rFonts w:ascii="Aptos" w:hAnsi="Aptos"/>
                <w:sz w:val="20"/>
                <w:szCs w:val="20"/>
              </w:rPr>
              <w:t>46435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8E1" w14:textId="0128FC67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3BB" w14:textId="24F9A041" w:rsidR="0003702A" w:rsidRPr="0067530B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67530B"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754FAEA7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12E" w14:textId="7BCB8D12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emuu_LB7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380" w14:textId="75C86B8C" w:rsidR="0003702A" w:rsidRPr="0003702A" w:rsidRDefault="00614BB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B69" w14:textId="3D227DD6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50AE" w14:textId="72C16362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C44" w14:textId="67331A46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OQ817834.1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A5D" w14:textId="0682B3F5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 w:rsidRPr="00614BBE">
              <w:rPr>
                <w:rFonts w:ascii="Aptos" w:hAnsi="Aptos"/>
                <w:sz w:val="20"/>
                <w:szCs w:val="20"/>
              </w:rPr>
              <w:t>46012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D93" w14:textId="48240836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76F" w14:textId="44AC43ED" w:rsidR="0003702A" w:rsidRPr="0067530B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0EDA5686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B13" w14:textId="4AEFEF0A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AMA1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BDC" w14:textId="11B6F002" w:rsidR="0003702A" w:rsidRPr="0003702A" w:rsidRDefault="00614BB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4BBE">
              <w:rPr>
                <w:rFonts w:ascii="Aptos" w:hAnsi="Aptos"/>
                <w:i/>
                <w:iCs/>
                <w:sz w:val="20"/>
                <w:szCs w:val="20"/>
              </w:rPr>
              <w:t>marplatensis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D75" w14:textId="75C96A60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8FA" w14:textId="31308C64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91B" w14:textId="2E83E2AC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MT241605.2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512" w14:textId="6D0D9098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 w:rsidRPr="00614BBE">
              <w:rPr>
                <w:rFonts w:ascii="Aptos" w:hAnsi="Aptos"/>
                <w:sz w:val="20"/>
                <w:szCs w:val="20"/>
              </w:rPr>
              <w:t>46328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938" w14:textId="688E1F4C" w:rsidR="0003702A" w:rsidRPr="0003702A" w:rsidRDefault="00614BB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6B2" w14:textId="55903E66" w:rsidR="0003702A" w:rsidRPr="0067530B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67530B">
              <w:rPr>
                <w:rFonts w:ascii="Aptos" w:hAnsi="Aptos"/>
                <w:sz w:val="20"/>
                <w:szCs w:val="20"/>
              </w:rPr>
              <w:t>1</w:t>
            </w:r>
            <w:r w:rsidR="00614BBE">
              <w:rPr>
                <w:rFonts w:ascii="Aptos" w:hAnsi="Aptos"/>
                <w:sz w:val="20"/>
                <w:szCs w:val="20"/>
              </w:rPr>
              <w:t>(**)</w:t>
            </w:r>
          </w:p>
        </w:tc>
      </w:tr>
      <w:tr w:rsidR="0003702A" w14:paraId="00D87CE3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688" w14:textId="71B22414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maay_LB1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700" w14:textId="54FF10E5" w:rsidR="0003702A" w:rsidRPr="0003702A" w:rsidRDefault="004111D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B71" w14:textId="4B551AD4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9E" w14:textId="0BF4CDD2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BC0" w14:textId="149BA1E6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OQ817838.1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70F" w14:textId="3DB9B8B0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 w:rsidRPr="004111DE">
              <w:rPr>
                <w:rFonts w:ascii="Aptos" w:hAnsi="Aptos"/>
                <w:sz w:val="20"/>
                <w:szCs w:val="20"/>
              </w:rPr>
              <w:t>46086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123" w14:textId="797A92FC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AC3" w14:textId="6E65CA9A" w:rsidR="0003702A" w:rsidRPr="0067530B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5A4C748F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F1D" w14:textId="5A1EFE1D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vB_AxyS_19-32_Axy14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A2D" w14:textId="01D18E6E" w:rsidR="0003702A" w:rsidRPr="0003702A" w:rsidRDefault="004111D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>xylosoxidans</w:t>
            </w:r>
            <w:proofErr w:type="spellEnd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4111DE">
              <w:rPr>
                <w:rFonts w:ascii="Aptos" w:hAnsi="Aptos"/>
                <w:sz w:val="20"/>
                <w:szCs w:val="20"/>
              </w:rPr>
              <w:t>I2BC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FFF" w14:textId="685D1D1C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B1F" w14:textId="1061C7A3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B06" w14:textId="319EBDFC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MK962633.1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B46" w14:textId="773BA98C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 w:rsidRPr="004111DE">
              <w:rPr>
                <w:rFonts w:ascii="Aptos" w:hAnsi="Aptos"/>
                <w:sz w:val="20"/>
                <w:szCs w:val="20"/>
              </w:rPr>
              <w:t>46703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AF4" w14:textId="5FBCA39A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A44" w14:textId="62DD2A41" w:rsidR="0003702A" w:rsidRPr="0067530B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03702A" w14:paraId="705F9652" w14:textId="77777777" w:rsidTr="003C240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455" w14:textId="72077945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Achromobacter</w:t>
            </w:r>
            <w:proofErr w:type="spellEnd"/>
            <w:r w:rsidRPr="0003702A">
              <w:rPr>
                <w:rFonts w:ascii="Aptos" w:hAnsi="Aptos"/>
                <w:sz w:val="20"/>
                <w:szCs w:val="20"/>
              </w:rPr>
              <w:t xml:space="preserve"> phage nyaak_TL1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74F" w14:textId="448DC54F" w:rsidR="0003702A" w:rsidRPr="0003702A" w:rsidRDefault="004111DE" w:rsidP="0003702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>Achromobacter</w:t>
            </w:r>
            <w:proofErr w:type="spellEnd"/>
            <w:r w:rsidRPr="004111DE">
              <w:rPr>
                <w:rFonts w:ascii="Aptos" w:hAnsi="Aptos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803" w14:textId="23894024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03702A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DBC" w14:textId="579378FD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C8C" w14:textId="31EB46B0" w:rsidR="0003702A" w:rsidRPr="0003702A" w:rsidRDefault="0003702A" w:rsidP="0003702A">
            <w:pPr>
              <w:rPr>
                <w:rFonts w:ascii="Aptos" w:hAnsi="Aptos"/>
                <w:sz w:val="20"/>
                <w:szCs w:val="20"/>
              </w:rPr>
            </w:pPr>
            <w:r w:rsidRPr="0003702A">
              <w:rPr>
                <w:rFonts w:ascii="Aptos" w:hAnsi="Aptos"/>
                <w:sz w:val="20"/>
                <w:szCs w:val="20"/>
              </w:rPr>
              <w:t>OQ817839.1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C3D" w14:textId="1AB4EE94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 w:rsidRPr="004111DE">
              <w:rPr>
                <w:rFonts w:ascii="Aptos" w:hAnsi="Aptos"/>
                <w:sz w:val="20"/>
                <w:szCs w:val="20"/>
              </w:rPr>
              <w:t>46478 bp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0C8" w14:textId="44201DD9" w:rsidR="0003702A" w:rsidRPr="0003702A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393" w14:textId="1F25E520" w:rsidR="0003702A" w:rsidRPr="0067530B" w:rsidRDefault="004111DE" w:rsidP="000370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</w:tbl>
    <w:p w14:paraId="178074D0" w14:textId="2A7B754D" w:rsidR="00614BBE" w:rsidRDefault="00614BBE" w:rsidP="00E2614C">
      <w:pPr>
        <w:rPr>
          <w:rFonts w:ascii="Aptos" w:hAnsi="Aptos" w:cs="Arial"/>
          <w:b/>
          <w:bCs/>
          <w:color w:val="0000FF"/>
          <w:lang w:val="en-GB"/>
        </w:rPr>
      </w:pPr>
      <w:r>
        <w:rPr>
          <w:rFonts w:ascii="Aptos" w:hAnsi="Aptos" w:cs="Arial"/>
          <w:b/>
          <w:bCs/>
          <w:color w:val="0000FF"/>
          <w:lang w:val="en-GB"/>
        </w:rPr>
        <w:t xml:space="preserve">(*) genome has </w:t>
      </w:r>
      <w:r w:rsidRPr="00614BBE">
        <w:rPr>
          <w:rFonts w:ascii="Aptos" w:hAnsi="Aptos" w:cs="Arial"/>
          <w:b/>
          <w:bCs/>
          <w:color w:val="0000FF"/>
          <w:lang w:val="en-GB"/>
        </w:rPr>
        <w:t>2978</w:t>
      </w:r>
      <w:r>
        <w:rPr>
          <w:rFonts w:ascii="Aptos" w:hAnsi="Aptos" w:cs="Arial"/>
          <w:b/>
          <w:bCs/>
          <w:color w:val="0000FF"/>
          <w:lang w:val="en-GB"/>
        </w:rPr>
        <w:t xml:space="preserve"> bp direct terminal repeats</w:t>
      </w:r>
    </w:p>
    <w:p w14:paraId="110C98C3" w14:textId="239EEC6A" w:rsidR="00614BBE" w:rsidRDefault="00614BBE" w:rsidP="00E2614C">
      <w:pPr>
        <w:rPr>
          <w:rFonts w:ascii="Aptos" w:hAnsi="Aptos" w:cs="Arial"/>
          <w:b/>
          <w:bCs/>
          <w:color w:val="0000FF"/>
          <w:lang w:val="en-GB"/>
        </w:rPr>
      </w:pPr>
      <w:r>
        <w:rPr>
          <w:rFonts w:ascii="Aptos" w:hAnsi="Aptos" w:cs="Arial"/>
          <w:b/>
          <w:bCs/>
          <w:color w:val="0000FF"/>
          <w:lang w:val="en-GB"/>
        </w:rPr>
        <w:t xml:space="preserve">(**) </w:t>
      </w:r>
      <w:r w:rsidRPr="00614BBE">
        <w:rPr>
          <w:rFonts w:ascii="Aptos" w:hAnsi="Aptos" w:cs="Arial"/>
          <w:b/>
          <w:bCs/>
          <w:color w:val="0000FF"/>
          <w:lang w:val="en-GB"/>
        </w:rPr>
        <w:t xml:space="preserve">discovered using </w:t>
      </w:r>
      <w:proofErr w:type="spellStart"/>
      <w:r w:rsidRPr="00614BBE">
        <w:rPr>
          <w:rFonts w:ascii="Aptos" w:hAnsi="Aptos" w:cs="Arial"/>
          <w:b/>
          <w:bCs/>
          <w:color w:val="0000FF"/>
          <w:lang w:val="en-GB"/>
        </w:rPr>
        <w:t>tRNAscan</w:t>
      </w:r>
      <w:proofErr w:type="spellEnd"/>
      <w:r w:rsidRPr="00614BBE">
        <w:rPr>
          <w:rFonts w:ascii="Aptos" w:hAnsi="Aptos" w:cs="Arial"/>
          <w:b/>
          <w:bCs/>
          <w:color w:val="0000FF"/>
          <w:lang w:val="en-GB"/>
        </w:rPr>
        <w:t>-SE (https://lowelab.ucsc.edu/tRNAscan-SE/)</w:t>
      </w:r>
    </w:p>
    <w:p w14:paraId="5D6B8CD6" w14:textId="77777777" w:rsidR="00614BBE" w:rsidRDefault="00614BBE" w:rsidP="00E2614C">
      <w:pPr>
        <w:rPr>
          <w:rFonts w:ascii="Aptos" w:hAnsi="Aptos" w:cs="Arial"/>
          <w:b/>
          <w:bCs/>
          <w:color w:val="0000FF"/>
          <w:lang w:val="en-GB"/>
        </w:rPr>
      </w:pPr>
    </w:p>
    <w:p w14:paraId="42DEF8DE" w14:textId="7CB9D844" w:rsidR="00687C2C" w:rsidRPr="00E461F7" w:rsidRDefault="00117B9D" w:rsidP="00A722B5">
      <w:pPr>
        <w:rPr>
          <w:rFonts w:ascii="Aptos" w:hAnsi="Aptos" w:cs="Arial"/>
          <w:lang w:val="en-GB"/>
        </w:rPr>
      </w:pPr>
      <w:r w:rsidRPr="00117B9D">
        <w:rPr>
          <w:rFonts w:ascii="Aptos" w:hAnsi="Aptos" w:cs="Arial"/>
          <w:lang w:val="en-GB"/>
        </w:rPr>
        <w:t xml:space="preserve">At the time </w:t>
      </w:r>
      <w:r w:rsidR="00304F8A">
        <w:rPr>
          <w:rFonts w:ascii="Aptos" w:hAnsi="Aptos" w:cs="Arial"/>
          <w:lang w:val="en-GB"/>
        </w:rPr>
        <w:t>of original submission</w:t>
      </w:r>
      <w:r w:rsidRPr="00117B9D">
        <w:rPr>
          <w:rFonts w:ascii="Aptos" w:hAnsi="Aptos" w:cs="Arial"/>
          <w:lang w:val="en-GB"/>
        </w:rPr>
        <w:t>,</w:t>
      </w:r>
      <w:r w:rsidR="00E461F7" w:rsidRPr="00117B9D">
        <w:rPr>
          <w:rFonts w:ascii="Aptos" w:hAnsi="Aptos" w:cs="Arial"/>
          <w:lang w:val="en-GB"/>
        </w:rPr>
        <w:t xml:space="preserve"> phage </w:t>
      </w:r>
      <w:proofErr w:type="spellStart"/>
      <w:r w:rsidR="00E461F7" w:rsidRPr="1747913C">
        <w:rPr>
          <w:rFonts w:ascii="Aptos" w:hAnsi="Aptos" w:cs="Arial"/>
          <w:lang w:val="en-GB"/>
        </w:rPr>
        <w:t>vB_Ade_ART</w:t>
      </w:r>
      <w:proofErr w:type="spellEnd"/>
      <w:r w:rsidR="00E461F7" w:rsidRPr="1747913C">
        <w:rPr>
          <w:rFonts w:ascii="Aptos" w:hAnsi="Aptos" w:cs="Arial"/>
          <w:lang w:val="en-GB"/>
        </w:rPr>
        <w:t xml:space="preserve"> (MH746817.1; host: </w:t>
      </w:r>
      <w:proofErr w:type="spellStart"/>
      <w:r w:rsidR="00E461F7" w:rsidRPr="00117B9D">
        <w:rPr>
          <w:rFonts w:ascii="Aptos" w:hAnsi="Aptos" w:cs="Arial"/>
          <w:i/>
          <w:iCs/>
          <w:lang w:val="en-GB"/>
        </w:rPr>
        <w:t>Achromobacter</w:t>
      </w:r>
      <w:proofErr w:type="spellEnd"/>
      <w:r w:rsidR="00E461F7" w:rsidRPr="00117B9D">
        <w:rPr>
          <w:rFonts w:ascii="Aptos" w:hAnsi="Aptos" w:cs="Arial"/>
          <w:i/>
          <w:iCs/>
          <w:lang w:val="en-GB"/>
        </w:rPr>
        <w:t xml:space="preserve"> </w:t>
      </w:r>
      <w:proofErr w:type="spellStart"/>
      <w:r w:rsidR="00E461F7" w:rsidRPr="00117B9D">
        <w:rPr>
          <w:rFonts w:ascii="Aptos" w:hAnsi="Aptos" w:cs="Arial"/>
          <w:i/>
          <w:iCs/>
          <w:lang w:val="en-GB"/>
        </w:rPr>
        <w:t>denitrificans</w:t>
      </w:r>
      <w:proofErr w:type="spellEnd"/>
      <w:r w:rsidR="00E461F7" w:rsidRPr="1747913C">
        <w:rPr>
          <w:rFonts w:ascii="Aptos" w:hAnsi="Aptos" w:cs="Arial"/>
          <w:lang w:val="en-GB"/>
        </w:rPr>
        <w:t xml:space="preserve"> PR1) should be considered a member of this subfamily </w:t>
      </w:r>
      <w:r w:rsidR="008E3C23" w:rsidRPr="1747913C">
        <w:rPr>
          <w:rFonts w:ascii="Aptos" w:hAnsi="Aptos" w:cs="Arial"/>
          <w:lang w:val="en-GB"/>
        </w:rPr>
        <w:t xml:space="preserve">but its genome is 95343 bp i.e. twice as </w:t>
      </w:r>
      <w:r>
        <w:rPr>
          <w:rFonts w:ascii="Aptos" w:hAnsi="Aptos" w:cs="Arial"/>
          <w:lang w:val="en-GB"/>
        </w:rPr>
        <w:t>large</w:t>
      </w:r>
      <w:r w:rsidR="008E3C23" w:rsidRPr="1747913C">
        <w:rPr>
          <w:rFonts w:ascii="Aptos" w:hAnsi="Aptos" w:cs="Arial"/>
          <w:lang w:val="en-GB"/>
        </w:rPr>
        <w:t xml:space="preserve"> as most of the </w:t>
      </w:r>
      <w:proofErr w:type="spellStart"/>
      <w:r w:rsidR="008E3C23" w:rsidRPr="1747913C">
        <w:rPr>
          <w:rFonts w:ascii="Aptos" w:hAnsi="Aptos" w:cs="Arial"/>
          <w:lang w:val="en-GB"/>
        </w:rPr>
        <w:t>phages</w:t>
      </w:r>
      <w:proofErr w:type="spellEnd"/>
      <w:r w:rsidR="008E3C23" w:rsidRPr="1747913C">
        <w:rPr>
          <w:rFonts w:ascii="Aptos" w:hAnsi="Aptos" w:cs="Arial"/>
          <w:lang w:val="en-GB"/>
        </w:rPr>
        <w:t xml:space="preserve"> in this proposal.  Examination of the sequence reveals two copies of the major capsid and </w:t>
      </w:r>
      <w:proofErr w:type="spellStart"/>
      <w:r w:rsidR="008E3C23" w:rsidRPr="1747913C">
        <w:rPr>
          <w:rFonts w:ascii="Aptos" w:hAnsi="Aptos" w:cs="Arial"/>
          <w:lang w:val="en-GB"/>
        </w:rPr>
        <w:t>terminase</w:t>
      </w:r>
      <w:proofErr w:type="spellEnd"/>
      <w:r w:rsidR="008E3C23" w:rsidRPr="1747913C">
        <w:rPr>
          <w:rFonts w:ascii="Aptos" w:hAnsi="Aptos" w:cs="Arial"/>
          <w:lang w:val="en-GB"/>
        </w:rPr>
        <w:t xml:space="preserve"> large subunit proteins leading to the conclusion that it is chimeric.</w:t>
      </w:r>
      <w:r w:rsidR="00005103" w:rsidRPr="1747913C">
        <w:rPr>
          <w:rFonts w:ascii="Aptos" w:hAnsi="Aptos" w:cs="Arial"/>
          <w:lang w:val="en-GB"/>
        </w:rPr>
        <w:t xml:space="preserve">  </w:t>
      </w:r>
      <w:r>
        <w:rPr>
          <w:rFonts w:ascii="Aptos" w:hAnsi="Aptos" w:cs="Arial"/>
          <w:lang w:val="en-GB"/>
        </w:rPr>
        <w:t>This has</w:t>
      </w:r>
      <w:r w:rsidR="00005103" w:rsidRPr="1747913C">
        <w:rPr>
          <w:rFonts w:ascii="Aptos" w:hAnsi="Aptos" w:cs="Arial"/>
          <w:lang w:val="en-GB"/>
        </w:rPr>
        <w:t xml:space="preserve"> </w:t>
      </w:r>
      <w:r>
        <w:rPr>
          <w:rFonts w:ascii="Aptos" w:hAnsi="Aptos" w:cs="Arial"/>
          <w:lang w:val="en-GB"/>
        </w:rPr>
        <w:t xml:space="preserve">now been </w:t>
      </w:r>
      <w:r w:rsidR="00005103" w:rsidRPr="1747913C">
        <w:rPr>
          <w:rFonts w:ascii="Aptos" w:hAnsi="Aptos" w:cs="Arial"/>
          <w:lang w:val="en-GB"/>
        </w:rPr>
        <w:t>corrected</w:t>
      </w:r>
      <w:r>
        <w:rPr>
          <w:rFonts w:ascii="Aptos" w:hAnsi="Aptos" w:cs="Arial"/>
          <w:lang w:val="en-GB"/>
        </w:rPr>
        <w:t xml:space="preserve"> (</w:t>
      </w:r>
      <w:r w:rsidRPr="00117B9D">
        <w:rPr>
          <w:rFonts w:ascii="Aptos" w:hAnsi="Aptos" w:cs="Arial"/>
          <w:lang w:val="en-GB"/>
        </w:rPr>
        <w:t>MH746817.</w:t>
      </w:r>
      <w:r>
        <w:rPr>
          <w:rFonts w:ascii="Aptos" w:hAnsi="Aptos" w:cs="Arial"/>
          <w:lang w:val="en-GB"/>
        </w:rPr>
        <w:t>2)</w:t>
      </w:r>
      <w:r w:rsidR="00005103" w:rsidRPr="1747913C">
        <w:rPr>
          <w:rFonts w:ascii="Aptos" w:hAnsi="Aptos" w:cs="Arial"/>
          <w:lang w:val="en-GB"/>
        </w:rPr>
        <w:t>.</w:t>
      </w:r>
    </w:p>
    <w:p w14:paraId="7C124D55" w14:textId="03AA5EC3" w:rsidR="00687C2C" w:rsidRDefault="005617AF" w:rsidP="00A722B5">
      <w:pPr>
        <w:rPr>
          <w:rFonts w:ascii="Aptos" w:hAnsi="Aptos" w:cs="Arial"/>
          <w:b/>
          <w:bCs/>
          <w:color w:val="0000FF"/>
          <w:sz w:val="20"/>
          <w:szCs w:val="20"/>
          <w:lang w:val="en-GB"/>
        </w:rPr>
      </w:pPr>
      <w:r>
        <w:rPr>
          <w:rFonts w:ascii="Aptos" w:hAnsi="Aptos" w:cs="Arial"/>
          <w:b/>
          <w:bCs/>
          <w:noProof/>
          <w:color w:val="0000FF"/>
          <w:sz w:val="20"/>
          <w:szCs w:val="20"/>
          <w:lang w:val="en-GB"/>
        </w:rPr>
        <w:lastRenderedPageBreak/>
        <w:drawing>
          <wp:inline distT="0" distB="0" distL="0" distR="0" wp14:anchorId="3A021457" wp14:editId="67C1DDE8">
            <wp:extent cx="5926455" cy="2922905"/>
            <wp:effectExtent l="0" t="0" r="0" b="0"/>
            <wp:docPr id="1172024999" name="Picture 2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24999" name="Picture 2" descr="A screen shot of a char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4817" w14:textId="6D8DF5D7" w:rsidR="00A722B5" w:rsidRPr="00D44F22" w:rsidRDefault="00A722B5" w:rsidP="00A722B5">
      <w:pPr>
        <w:rPr>
          <w:rFonts w:ascii="Aptos" w:hAnsi="Aptos" w:cs="Arial"/>
          <w:b/>
          <w:bCs/>
          <w:color w:val="0000FF"/>
          <w:lang w:val="en-GB"/>
        </w:rPr>
      </w:pPr>
    </w:p>
    <w:p w14:paraId="5381E4CD" w14:textId="480750D7" w:rsidR="00954208" w:rsidRDefault="00954208" w:rsidP="00954208">
      <w:pPr>
        <w:rPr>
          <w:rFonts w:ascii="Aptos" w:eastAsia="Aptos" w:hAnsi="Aptos" w:cs="Aptos"/>
        </w:rPr>
      </w:pPr>
      <w:r w:rsidRPr="00954208">
        <w:rPr>
          <w:rFonts w:ascii="Aptos" w:hAnsi="Aptos"/>
          <w:b/>
          <w:bCs/>
        </w:rPr>
        <w:t>Figure 1.</w:t>
      </w:r>
      <w:r>
        <w:rPr>
          <w:rFonts w:ascii="Aptos" w:hAnsi="Aptos"/>
        </w:rPr>
        <w:t xml:space="preserve"> VIRIDIC heat map (Virus Intergenomic Distance Calculator; VIRIDIC (Virus Intergenomic Distance Calculator; [3]; http://rhea.icbm.uni-oldenburg.de/VIRIDIC/)  heatmap for this group of phages.  It computes pairwise intergenomic </w:t>
      </w:r>
      <w:r>
        <w:rPr>
          <w:rFonts w:ascii="Aptos" w:eastAsia="Aptos" w:hAnsi="Aptos" w:cs="Aptos"/>
        </w:rPr>
        <w:t xml:space="preserve">distances/similarities amongst phage genomes. Data values which are bordered in black correspond to strains.  </w:t>
      </w:r>
      <w:bookmarkStart w:id="0" w:name="_Hlk199180882"/>
      <w:r>
        <w:rPr>
          <w:rFonts w:ascii="Aptos" w:eastAsia="Aptos" w:hAnsi="Aptos" w:cs="Aptos"/>
        </w:rPr>
        <w:t xml:space="preserve">Abbreviations:  </w:t>
      </w:r>
      <w:proofErr w:type="spellStart"/>
      <w:r w:rsidR="005617AF">
        <w:rPr>
          <w:rFonts w:ascii="Aptos" w:eastAsia="Aptos" w:hAnsi="Aptos" w:cs="Aptos"/>
        </w:rPr>
        <w:t>Achr</w:t>
      </w:r>
      <w:proofErr w:type="spellEnd"/>
      <w:r>
        <w:rPr>
          <w:rFonts w:ascii="Aptos" w:eastAsia="Aptos" w:hAnsi="Aptos" w:cs="Aptos"/>
        </w:rPr>
        <w:t xml:space="preserve"> = </w:t>
      </w:r>
      <w:proofErr w:type="spellStart"/>
      <w:r w:rsidR="005617AF">
        <w:rPr>
          <w:rFonts w:ascii="Aptos" w:eastAsia="Aptos" w:hAnsi="Aptos" w:cs="Aptos"/>
          <w:i/>
          <w:iCs/>
        </w:rPr>
        <w:t>Achromobacter</w:t>
      </w:r>
      <w:proofErr w:type="spellEnd"/>
      <w:r>
        <w:rPr>
          <w:rFonts w:ascii="Aptos" w:eastAsia="Aptos" w:hAnsi="Aptos" w:cs="Aptos"/>
        </w:rPr>
        <w:t xml:space="preserve">; </w:t>
      </w:r>
      <w:proofErr w:type="spellStart"/>
      <w:r>
        <w:rPr>
          <w:rFonts w:ascii="Aptos" w:eastAsia="Aptos" w:hAnsi="Aptos" w:cs="Aptos"/>
        </w:rPr>
        <w:t>phg</w:t>
      </w:r>
      <w:proofErr w:type="spellEnd"/>
      <w:r>
        <w:rPr>
          <w:rFonts w:ascii="Aptos" w:eastAsia="Aptos" w:hAnsi="Aptos" w:cs="Aptos"/>
        </w:rPr>
        <w:t xml:space="preserve"> = phage.  </w:t>
      </w:r>
      <w:bookmarkEnd w:id="0"/>
      <w:r w:rsidR="005617AF">
        <w:rPr>
          <w:rFonts w:ascii="Aptos" w:eastAsia="Aptos" w:hAnsi="Aptos" w:cs="Aptos"/>
        </w:rPr>
        <w:t>Because of the size of this diagram we have included the original Excel spreadsheet to render the numbers more visible (</w:t>
      </w:r>
      <w:proofErr w:type="spellStart"/>
      <w:r w:rsidR="005617AF">
        <w:rPr>
          <w:rFonts w:ascii="Aptos" w:eastAsia="Aptos" w:hAnsi="Aptos" w:cs="Aptos"/>
        </w:rPr>
        <w:t>Alvaradoviridae_</w:t>
      </w:r>
      <w:r w:rsidR="005D0DAD">
        <w:rPr>
          <w:rFonts w:ascii="Aptos" w:eastAsia="Aptos" w:hAnsi="Aptos" w:cs="Aptos"/>
        </w:rPr>
        <w:t>VIRIDIC</w:t>
      </w:r>
      <w:proofErr w:type="spellEnd"/>
      <w:r w:rsidR="005D0DAD">
        <w:rPr>
          <w:rFonts w:ascii="Aptos" w:eastAsia="Aptos" w:hAnsi="Aptos" w:cs="Aptos"/>
        </w:rPr>
        <w:t xml:space="preserve"> </w:t>
      </w:r>
      <w:r w:rsidR="005617AF">
        <w:rPr>
          <w:rFonts w:ascii="Aptos" w:eastAsia="Aptos" w:hAnsi="Aptos" w:cs="Aptos"/>
        </w:rPr>
        <w:t>heatmap</w:t>
      </w:r>
      <w:r w:rsidR="005D0DAD">
        <w:rPr>
          <w:rFonts w:ascii="Aptos" w:eastAsia="Aptos" w:hAnsi="Aptos" w:cs="Aptos"/>
        </w:rPr>
        <w:t>).</w:t>
      </w:r>
    </w:p>
    <w:p w14:paraId="7ADEA7B3" w14:textId="27C11032" w:rsidR="00A722B5" w:rsidRDefault="005D0DAD" w:rsidP="00A722B5">
      <w:pPr>
        <w:rPr>
          <w:rFonts w:ascii="Aptos" w:hAnsi="Aptos" w:cs="Arial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3A242286" wp14:editId="5A049BCC">
            <wp:extent cx="5926455" cy="1203960"/>
            <wp:effectExtent l="0" t="0" r="0" b="0"/>
            <wp:docPr id="1152582983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2983" name="Picture 3" descr="A close-up of a documen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noProof/>
          <w:color w:val="0070C0"/>
        </w:rPr>
        <w:drawing>
          <wp:inline distT="0" distB="0" distL="0" distR="0" wp14:anchorId="313192F1" wp14:editId="69436849">
            <wp:extent cx="5926455" cy="1984375"/>
            <wp:effectExtent l="0" t="0" r="0" b="0"/>
            <wp:docPr id="990038326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38326" name="Picture 4" descr="A screenshot of a computer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22B5" w:rsidRPr="1747913C">
        <w:rPr>
          <w:rFonts w:ascii="Aptos" w:hAnsi="Aptos" w:cs="Arial"/>
          <w:b/>
          <w:bCs/>
        </w:rPr>
        <w:t xml:space="preserve">Figure </w:t>
      </w:r>
      <w:r w:rsidR="00954208" w:rsidRPr="1747913C">
        <w:rPr>
          <w:rFonts w:ascii="Aptos" w:hAnsi="Aptos" w:cs="Arial"/>
          <w:b/>
          <w:bCs/>
        </w:rPr>
        <w:t>2</w:t>
      </w:r>
      <w:r w:rsidR="00A722B5" w:rsidRPr="1747913C">
        <w:rPr>
          <w:rFonts w:ascii="Aptos" w:hAnsi="Aptos" w:cs="Arial"/>
          <w:b/>
          <w:bCs/>
        </w:rPr>
        <w:t xml:space="preserve">: </w:t>
      </w:r>
      <w:proofErr w:type="spellStart"/>
      <w:r w:rsidR="00A722B5" w:rsidRPr="1747913C">
        <w:rPr>
          <w:rFonts w:ascii="Aptos" w:hAnsi="Aptos" w:cs="Arial"/>
        </w:rPr>
        <w:t>ViPTree</w:t>
      </w:r>
      <w:proofErr w:type="spellEnd"/>
      <w:r w:rsidR="00A722B5" w:rsidRPr="1747913C">
        <w:rPr>
          <w:rFonts w:ascii="Aptos" w:hAnsi="Aptos" w:cs="Arial"/>
        </w:rPr>
        <w:t xml:space="preserve"> analysis</w:t>
      </w:r>
      <w:r w:rsidR="00A722B5" w:rsidRPr="1747913C">
        <w:rPr>
          <w:rFonts w:ascii="Aptos" w:hAnsi="Aptos" w:cs="Arial"/>
          <w:lang w:val="en-GB"/>
        </w:rPr>
        <w:t xml:space="preserve"> (</w:t>
      </w:r>
      <w:hyperlink>
        <w:r w:rsidR="00A722B5" w:rsidRPr="1747913C">
          <w:rPr>
            <w:rStyle w:val="Hyperlink"/>
            <w:rFonts w:ascii="Aptos" w:eastAsia="Times" w:hAnsi="Aptos" w:cs="Arial"/>
            <w:lang w:val="en-GB"/>
          </w:rPr>
          <w:t>https://www.genome.jp/viptree/</w:t>
        </w:r>
      </w:hyperlink>
      <w:r w:rsidR="00A722B5" w:rsidRPr="1747913C">
        <w:rPr>
          <w:rFonts w:ascii="Aptos" w:hAnsi="Aptos" w:cs="Arial"/>
          <w:lang w:val="en-GB"/>
        </w:rPr>
        <w:t xml:space="preserve">; [4]) is based upon </w:t>
      </w:r>
      <w:proofErr w:type="spellStart"/>
      <w:r w:rsidR="00A722B5" w:rsidRPr="1747913C">
        <w:rPr>
          <w:rFonts w:ascii="Aptos" w:hAnsi="Aptos" w:cs="Arial"/>
          <w:lang w:val="en-GB"/>
        </w:rPr>
        <w:t>Rohwer</w:t>
      </w:r>
      <w:proofErr w:type="spellEnd"/>
      <w:r w:rsidR="00A722B5" w:rsidRPr="1747913C">
        <w:rPr>
          <w:rFonts w:ascii="Aptos" w:hAnsi="Aptos" w:cs="Arial"/>
          <w:lang w:val="en-GB"/>
        </w:rPr>
        <w:t xml:space="preserve"> and Edwards (2002) famous Phage Proteomic Tree [5].  The </w:t>
      </w:r>
      <w:proofErr w:type="spellStart"/>
      <w:r w:rsidR="00A722B5" w:rsidRPr="1747913C">
        <w:rPr>
          <w:rFonts w:ascii="Aptos" w:hAnsi="Aptos" w:cs="Arial"/>
          <w:lang w:val="en-GB"/>
        </w:rPr>
        <w:t>phage</w:t>
      </w:r>
      <w:r w:rsidR="008317E8" w:rsidRPr="1747913C">
        <w:rPr>
          <w:rFonts w:ascii="Aptos" w:hAnsi="Aptos" w:cs="Arial"/>
          <w:lang w:val="en-GB"/>
        </w:rPr>
        <w:t>s</w:t>
      </w:r>
      <w:proofErr w:type="spellEnd"/>
      <w:r w:rsidR="00A722B5" w:rsidRPr="1747913C">
        <w:rPr>
          <w:rFonts w:ascii="Aptos" w:hAnsi="Aptos" w:cs="Arial"/>
          <w:lang w:val="en-GB"/>
        </w:rPr>
        <w:t xml:space="preserve"> of interest </w:t>
      </w:r>
      <w:r w:rsidR="008317E8" w:rsidRPr="1747913C">
        <w:rPr>
          <w:rFonts w:ascii="Aptos" w:hAnsi="Aptos" w:cs="Arial"/>
          <w:lang w:val="en-GB"/>
        </w:rPr>
        <w:t>are</w:t>
      </w:r>
      <w:r w:rsidR="001856AB" w:rsidRPr="1747913C">
        <w:rPr>
          <w:rFonts w:ascii="Aptos" w:hAnsi="Aptos" w:cs="Arial"/>
          <w:lang w:val="en-GB"/>
        </w:rPr>
        <w:t xml:space="preserve"> </w:t>
      </w:r>
      <w:r w:rsidR="001856AB" w:rsidRPr="1747913C">
        <w:rPr>
          <w:rFonts w:ascii="Aptos" w:hAnsi="Aptos" w:cs="Arial"/>
        </w:rPr>
        <w:t>indicated</w:t>
      </w:r>
      <w:r w:rsidR="00A722B5" w:rsidRPr="1747913C">
        <w:rPr>
          <w:rFonts w:ascii="Aptos" w:hAnsi="Aptos" w:cs="Arial"/>
        </w:rPr>
        <w:t xml:space="preserve"> with </w:t>
      </w:r>
      <w:r w:rsidR="00A722B5" w:rsidRPr="1747913C">
        <w:rPr>
          <w:rFonts w:ascii="Aptos" w:hAnsi="Aptos" w:cs="Arial"/>
          <w:b/>
          <w:bCs/>
          <w:color w:val="FF0000"/>
        </w:rPr>
        <w:t xml:space="preserve">red </w:t>
      </w:r>
      <w:r w:rsidR="0088656D">
        <w:rPr>
          <w:rFonts w:ascii="Aptos" w:hAnsi="Aptos" w:cs="Arial"/>
          <w:b/>
          <w:bCs/>
          <w:color w:val="FF0000"/>
        </w:rPr>
        <w:t>stars</w:t>
      </w:r>
      <w:r w:rsidR="00A722B5" w:rsidRPr="1747913C">
        <w:rPr>
          <w:rFonts w:ascii="Aptos" w:hAnsi="Aptos" w:cs="Arial"/>
        </w:rPr>
        <w:t xml:space="preserve">.  </w:t>
      </w:r>
      <w:r w:rsidR="00687C2C" w:rsidRPr="1747913C">
        <w:rPr>
          <w:rFonts w:ascii="Aptos" w:hAnsi="Aptos" w:cs="Arial"/>
        </w:rPr>
        <w:t xml:space="preserve">Abbreviations:  </w:t>
      </w:r>
      <w:proofErr w:type="spellStart"/>
      <w:r w:rsidR="005617AF" w:rsidRPr="1747913C">
        <w:rPr>
          <w:rFonts w:ascii="Aptos" w:hAnsi="Aptos" w:cs="Arial"/>
        </w:rPr>
        <w:t>Achr</w:t>
      </w:r>
      <w:proofErr w:type="spellEnd"/>
      <w:r w:rsidR="00687C2C" w:rsidRPr="1747913C">
        <w:rPr>
          <w:rFonts w:ascii="Aptos" w:hAnsi="Aptos" w:cs="Arial"/>
        </w:rPr>
        <w:t xml:space="preserve"> = </w:t>
      </w:r>
      <w:proofErr w:type="spellStart"/>
      <w:r w:rsidR="005617AF" w:rsidRPr="1747913C">
        <w:rPr>
          <w:rFonts w:ascii="Aptos" w:hAnsi="Aptos" w:cs="Arial"/>
          <w:i/>
          <w:iCs/>
        </w:rPr>
        <w:t>Achromobacter</w:t>
      </w:r>
      <w:proofErr w:type="spellEnd"/>
      <w:r w:rsidR="00687C2C" w:rsidRPr="1747913C">
        <w:rPr>
          <w:rFonts w:ascii="Aptos" w:hAnsi="Aptos" w:cs="Arial"/>
        </w:rPr>
        <w:t xml:space="preserve">; </w:t>
      </w:r>
      <w:proofErr w:type="spellStart"/>
      <w:r w:rsidR="00687C2C" w:rsidRPr="1747913C">
        <w:rPr>
          <w:rFonts w:ascii="Aptos" w:hAnsi="Aptos" w:cs="Arial"/>
        </w:rPr>
        <w:t>phg</w:t>
      </w:r>
      <w:proofErr w:type="spellEnd"/>
      <w:r w:rsidR="00687C2C" w:rsidRPr="1747913C">
        <w:rPr>
          <w:rFonts w:ascii="Aptos" w:hAnsi="Aptos" w:cs="Arial"/>
        </w:rPr>
        <w:t xml:space="preserve"> = phage.  </w:t>
      </w:r>
    </w:p>
    <w:p w14:paraId="469A753B" w14:textId="77777777" w:rsidR="001F7BD4" w:rsidRDefault="001F7BD4" w:rsidP="00A722B5">
      <w:pPr>
        <w:rPr>
          <w:rFonts w:ascii="Aptos" w:hAnsi="Aptos" w:cs="Arial"/>
        </w:rPr>
      </w:pPr>
    </w:p>
    <w:p w14:paraId="6BBD666B" w14:textId="2F4AB701" w:rsidR="001F7BD4" w:rsidRDefault="005F2A24" w:rsidP="00A722B5">
      <w:pPr>
        <w:rPr>
          <w:rFonts w:ascii="Aptos" w:hAnsi="Aptos" w:cs="Arial"/>
        </w:rPr>
      </w:pPr>
      <w:r>
        <w:rPr>
          <w:rFonts w:ascii="Aptos" w:hAnsi="Aptos" w:cs="Arial"/>
          <w:noProof/>
        </w:rPr>
        <w:lastRenderedPageBreak/>
        <w:drawing>
          <wp:inline distT="0" distB="0" distL="0" distR="0" wp14:anchorId="605B731C" wp14:editId="116A2DF7">
            <wp:extent cx="5926455" cy="2445385"/>
            <wp:effectExtent l="0" t="0" r="0" b="0"/>
            <wp:docPr id="150172514" name="Picture 2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2514" name="Picture 2" descr="A screenshot of a computer program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A23B" w14:textId="63BD22CC" w:rsidR="001F7BD4" w:rsidRDefault="000925DD" w:rsidP="00A722B5">
      <w:pPr>
        <w:rPr>
          <w:rFonts w:ascii="Aptos" w:hAnsi="Aptos" w:cs="Arial"/>
        </w:rPr>
      </w:pPr>
      <w:r w:rsidRPr="005F2A24">
        <w:rPr>
          <w:rFonts w:ascii="Aptos" w:hAnsi="Aptos" w:cs="Arial"/>
          <w:b/>
          <w:bCs/>
        </w:rPr>
        <w:t>Figure 3:</w:t>
      </w:r>
      <w:r>
        <w:rPr>
          <w:rFonts w:ascii="Aptos" w:hAnsi="Aptos" w:cs="Arial"/>
        </w:rPr>
        <w:t xml:space="preserve"> </w:t>
      </w:r>
      <w:r w:rsidR="005F2A24">
        <w:rPr>
          <w:rFonts w:ascii="Aptos" w:hAnsi="Aptos" w:cs="Arial"/>
        </w:rPr>
        <w:t xml:space="preserve"> Phylogenetic analysis of the large subunit </w:t>
      </w:r>
      <w:proofErr w:type="spellStart"/>
      <w:r w:rsidR="005F2A24">
        <w:rPr>
          <w:rFonts w:ascii="Aptos" w:hAnsi="Aptos" w:cs="Arial"/>
        </w:rPr>
        <w:t>terminases</w:t>
      </w:r>
      <w:proofErr w:type="spellEnd"/>
      <w:r w:rsidR="005F2A24">
        <w:rPr>
          <w:rFonts w:ascii="Aptos" w:hAnsi="Aptos" w:cs="Arial"/>
        </w:rPr>
        <w:t xml:space="preserve"> from these and </w:t>
      </w:r>
      <w:r w:rsidR="005F2A24" w:rsidRPr="005F2A24">
        <w:rPr>
          <w:rFonts w:ascii="Aptos" w:hAnsi="Aptos" w:cs="Arial"/>
          <w:i/>
          <w:iCs/>
        </w:rPr>
        <w:t>Pseudomonas</w:t>
      </w:r>
      <w:r w:rsidR="005F2A24">
        <w:rPr>
          <w:rFonts w:ascii="Aptos" w:hAnsi="Aptos" w:cs="Arial"/>
        </w:rPr>
        <w:t xml:space="preserve"> phage  </w:t>
      </w:r>
      <w:proofErr w:type="spellStart"/>
      <w:r w:rsidR="005F2A24">
        <w:rPr>
          <w:rFonts w:ascii="Aptos" w:hAnsi="Aptos" w:cs="Arial"/>
        </w:rPr>
        <w:t>Lucjab</w:t>
      </w:r>
      <w:proofErr w:type="spellEnd"/>
      <w:r w:rsidR="005F2A24">
        <w:rPr>
          <w:rFonts w:ascii="Aptos" w:hAnsi="Aptos" w:cs="Arial"/>
        </w:rPr>
        <w:t xml:space="preserve"> (outlier) created using “One Click” phylogeny.fr at </w:t>
      </w:r>
      <w:hyperlink r:id="rId17" w:history="1">
        <w:r w:rsidR="005F2A24" w:rsidRPr="00560941">
          <w:rPr>
            <w:rStyle w:val="Hyperlink"/>
            <w:rFonts w:ascii="Aptos" w:hAnsi="Aptos" w:cs="Arial"/>
          </w:rPr>
          <w:t>http://phylogeny.lirmm.fr/</w:t>
        </w:r>
      </w:hyperlink>
      <w:r w:rsidR="005F2A24">
        <w:rPr>
          <w:rFonts w:ascii="Aptos" w:hAnsi="Aptos" w:cs="Arial"/>
        </w:rPr>
        <w:t xml:space="preserve"> [8] confirms the three genera that we have proposed.</w:t>
      </w:r>
    </w:p>
    <w:p w14:paraId="7EEDD5E7" w14:textId="77777777" w:rsidR="005F2A24" w:rsidRDefault="005F2A24" w:rsidP="00A722B5">
      <w:pPr>
        <w:rPr>
          <w:rFonts w:ascii="Aptos" w:hAnsi="Aptos" w:cs="Arial"/>
        </w:rPr>
      </w:pPr>
    </w:p>
    <w:p w14:paraId="0AC1D03B" w14:textId="2FC15E0E" w:rsidR="001F7BD4" w:rsidRDefault="001F7BD4" w:rsidP="00A722B5">
      <w:pPr>
        <w:rPr>
          <w:rFonts w:ascii="Aptos" w:hAnsi="Aptos" w:cs="Arial"/>
        </w:rPr>
      </w:pPr>
      <w:proofErr w:type="spellStart"/>
      <w:r w:rsidRPr="1747913C">
        <w:rPr>
          <w:rFonts w:ascii="Aptos" w:hAnsi="Aptos" w:cs="Arial"/>
          <w:b/>
          <w:bCs/>
        </w:rPr>
        <w:t>CoreGenes</w:t>
      </w:r>
      <w:proofErr w:type="spellEnd"/>
      <w:r w:rsidRPr="1747913C">
        <w:rPr>
          <w:rFonts w:ascii="Aptos" w:hAnsi="Aptos" w:cs="Arial"/>
          <w:b/>
          <w:bCs/>
        </w:rPr>
        <w:t xml:space="preserve"> 5 Analysis</w:t>
      </w:r>
      <w:r w:rsidRPr="1747913C">
        <w:rPr>
          <w:rFonts w:ascii="Aptos" w:hAnsi="Aptos" w:cs="Arial"/>
        </w:rPr>
        <w:t xml:space="preserve"> [7]: revealed that the phages listed in Table 1</w:t>
      </w:r>
      <w:r w:rsidR="5FE1F139" w:rsidRPr="1747913C">
        <w:rPr>
          <w:rFonts w:ascii="Aptos" w:hAnsi="Aptos" w:cs="Arial"/>
        </w:rPr>
        <w:t>A-C</w:t>
      </w:r>
      <w:r w:rsidRPr="1747913C">
        <w:rPr>
          <w:rFonts w:ascii="Aptos" w:hAnsi="Aptos" w:cs="Arial"/>
        </w:rPr>
        <w:t xml:space="preserve"> share </w:t>
      </w:r>
      <w:r w:rsidR="002242FF" w:rsidRPr="1747913C">
        <w:rPr>
          <w:rFonts w:ascii="Aptos" w:hAnsi="Aptos" w:cs="Arial"/>
        </w:rPr>
        <w:t>41</w:t>
      </w:r>
      <w:r w:rsidRPr="1747913C">
        <w:rPr>
          <w:rFonts w:ascii="Aptos" w:hAnsi="Aptos" w:cs="Arial"/>
        </w:rPr>
        <w:t xml:space="preserve"> protein homologs, </w:t>
      </w:r>
      <w:r w:rsidR="007571A6" w:rsidRPr="1747913C">
        <w:rPr>
          <w:rFonts w:ascii="Aptos" w:hAnsi="Aptos" w:cs="Arial"/>
        </w:rPr>
        <w:t xml:space="preserve">including </w:t>
      </w:r>
      <w:r w:rsidR="002242FF" w:rsidRPr="1747913C">
        <w:rPr>
          <w:rFonts w:ascii="Aptos" w:hAnsi="Aptos" w:cs="Arial"/>
        </w:rPr>
        <w:t xml:space="preserve">tape measure domain protein, </w:t>
      </w:r>
      <w:proofErr w:type="spellStart"/>
      <w:r w:rsidR="002242FF" w:rsidRPr="1747913C">
        <w:rPr>
          <w:rFonts w:ascii="Aptos" w:hAnsi="Aptos" w:cs="Arial"/>
        </w:rPr>
        <w:t>terminase</w:t>
      </w:r>
      <w:proofErr w:type="spellEnd"/>
      <w:r w:rsidR="002242FF" w:rsidRPr="1747913C">
        <w:rPr>
          <w:rFonts w:ascii="Aptos" w:hAnsi="Aptos" w:cs="Arial"/>
        </w:rPr>
        <w:t xml:space="preserve"> large subunit, transcriptional </w:t>
      </w:r>
      <w:r w:rsidR="000D41C4" w:rsidRPr="1747913C">
        <w:rPr>
          <w:rFonts w:ascii="Aptos" w:hAnsi="Aptos" w:cs="Arial"/>
        </w:rPr>
        <w:t xml:space="preserve">regulator, </w:t>
      </w:r>
      <w:proofErr w:type="spellStart"/>
      <w:r w:rsidR="000D41C4" w:rsidRPr="1747913C">
        <w:rPr>
          <w:rFonts w:ascii="Aptos" w:hAnsi="Aptos" w:cs="Arial"/>
        </w:rPr>
        <w:t>dCMP</w:t>
      </w:r>
      <w:proofErr w:type="spellEnd"/>
      <w:r w:rsidR="002242FF" w:rsidRPr="1747913C">
        <w:rPr>
          <w:rFonts w:ascii="Aptos" w:hAnsi="Aptos" w:cs="Arial"/>
        </w:rPr>
        <w:t xml:space="preserve"> deaminase, and thymidylate synthase</w:t>
      </w:r>
      <w:r w:rsidRPr="1747913C">
        <w:rPr>
          <w:rFonts w:ascii="Aptos" w:hAnsi="Aptos" w:cs="Arial"/>
        </w:rPr>
        <w:t xml:space="preserve">.  This indicates </w:t>
      </w:r>
      <w:r w:rsidR="007571A6" w:rsidRPr="1747913C">
        <w:rPr>
          <w:rFonts w:ascii="Aptos" w:hAnsi="Aptos" w:cs="Arial"/>
        </w:rPr>
        <w:t>that approximately</w:t>
      </w:r>
      <w:r w:rsidRPr="1747913C">
        <w:rPr>
          <w:rFonts w:ascii="Aptos" w:hAnsi="Aptos" w:cs="Arial"/>
        </w:rPr>
        <w:t xml:space="preserve"> 6</w:t>
      </w:r>
      <w:r w:rsidR="000D41C4" w:rsidRPr="1747913C">
        <w:rPr>
          <w:rFonts w:ascii="Aptos" w:hAnsi="Aptos" w:cs="Arial"/>
        </w:rPr>
        <w:t>2.4</w:t>
      </w:r>
      <w:r w:rsidRPr="1747913C">
        <w:rPr>
          <w:rFonts w:ascii="Aptos" w:hAnsi="Aptos" w:cs="Arial"/>
        </w:rPr>
        <w:t>% of the phage-encoded proteins are conserved.</w:t>
      </w:r>
    </w:p>
    <w:p w14:paraId="7CE9F7C2" w14:textId="77777777" w:rsidR="00AF7F6E" w:rsidRDefault="00AF7F6E" w:rsidP="00A722B5">
      <w:pPr>
        <w:rPr>
          <w:rFonts w:ascii="Aptos" w:hAnsi="Aptos" w:cs="Arial"/>
        </w:rPr>
      </w:pPr>
    </w:p>
    <w:p w14:paraId="3540A839" w14:textId="3C7396A6" w:rsidR="00AF7F6E" w:rsidRDefault="00AF7F6E" w:rsidP="00AF7F6E">
      <w:pPr>
        <w:jc w:val="center"/>
        <w:rPr>
          <w:rFonts w:ascii="Aptos" w:hAnsi="Aptos" w:cs="Arial"/>
        </w:rPr>
      </w:pPr>
      <w:r>
        <w:rPr>
          <w:rFonts w:ascii="Aptos" w:hAnsi="Aptos" w:cs="Arial"/>
          <w:noProof/>
        </w:rPr>
        <w:drawing>
          <wp:inline distT="0" distB="0" distL="0" distR="0" wp14:anchorId="39673B84" wp14:editId="00EFF4F7">
            <wp:extent cx="2965107" cy="3184525"/>
            <wp:effectExtent l="0" t="0" r="6985" b="0"/>
            <wp:docPr id="1527095611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95611" name="Picture 1" descr="A person in a sui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474" cy="319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1F4C" w14:textId="77777777" w:rsidR="00AF7F6E" w:rsidRDefault="00AF7F6E" w:rsidP="00A722B5">
      <w:pPr>
        <w:rPr>
          <w:rFonts w:ascii="Aptos" w:hAnsi="Aptos" w:cs="Arial"/>
        </w:rPr>
      </w:pPr>
    </w:p>
    <w:p w14:paraId="51FB0902" w14:textId="178BB6C7" w:rsidR="00AF7F6E" w:rsidRPr="00D44F22" w:rsidRDefault="00AF7F6E" w:rsidP="00A722B5">
      <w:pPr>
        <w:rPr>
          <w:rFonts w:ascii="Aptos" w:hAnsi="Aptos" w:cs="Arial"/>
        </w:rPr>
      </w:pPr>
      <w:r w:rsidRPr="00AF7F6E">
        <w:rPr>
          <w:rFonts w:ascii="Aptos" w:hAnsi="Aptos" w:cs="Arial"/>
        </w:rPr>
        <w:t>Juan Bautista Valentín Alvarado y Vallejo (1809 – 1882) governor of California from 1837–1842</w:t>
      </w:r>
      <w:r>
        <w:rPr>
          <w:rFonts w:ascii="Aptos" w:hAnsi="Aptos" w:cs="Arial"/>
        </w:rPr>
        <w:t xml:space="preserve"> (from: </w:t>
      </w:r>
      <w:r w:rsidRPr="00AF7F6E">
        <w:rPr>
          <w:rFonts w:ascii="Aptos" w:hAnsi="Aptos" w:cs="Arial"/>
        </w:rPr>
        <w:t>(https://en.wikipedia.org/wiki/Juan_Bautista_Alvarado)</w:t>
      </w:r>
    </w:p>
    <w:sectPr w:rsidR="00AF7F6E" w:rsidRPr="00D44F22" w:rsidSect="00A82FBB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1282" w14:textId="77777777" w:rsidR="00467A15" w:rsidRDefault="00467A15">
      <w:r>
        <w:separator/>
      </w:r>
    </w:p>
  </w:endnote>
  <w:endnote w:type="continuationSeparator" w:id="0">
    <w:p w14:paraId="526E5FD0" w14:textId="77777777" w:rsidR="00467A15" w:rsidRDefault="0046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B9BA" w14:textId="77777777" w:rsidR="00467A15" w:rsidRDefault="00467A15">
      <w:r>
        <w:separator/>
      </w:r>
    </w:p>
  </w:footnote>
  <w:footnote w:type="continuationSeparator" w:id="0">
    <w:p w14:paraId="08BD93DB" w14:textId="77777777" w:rsidR="00467A15" w:rsidRDefault="0046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103"/>
    <w:rsid w:val="00017BF9"/>
    <w:rsid w:val="00023385"/>
    <w:rsid w:val="00035A87"/>
    <w:rsid w:val="0003702A"/>
    <w:rsid w:val="000406E1"/>
    <w:rsid w:val="00040CB0"/>
    <w:rsid w:val="0004176B"/>
    <w:rsid w:val="000433C9"/>
    <w:rsid w:val="000449DB"/>
    <w:rsid w:val="00066DCC"/>
    <w:rsid w:val="0008012E"/>
    <w:rsid w:val="000925DD"/>
    <w:rsid w:val="000965D7"/>
    <w:rsid w:val="000A146A"/>
    <w:rsid w:val="000A14F2"/>
    <w:rsid w:val="000A7027"/>
    <w:rsid w:val="000B1BF3"/>
    <w:rsid w:val="000B5D78"/>
    <w:rsid w:val="000B6878"/>
    <w:rsid w:val="000C14AF"/>
    <w:rsid w:val="000C22CF"/>
    <w:rsid w:val="000D182E"/>
    <w:rsid w:val="000D41C4"/>
    <w:rsid w:val="000E54FF"/>
    <w:rsid w:val="000F51F4"/>
    <w:rsid w:val="000F5D09"/>
    <w:rsid w:val="000F7067"/>
    <w:rsid w:val="00106232"/>
    <w:rsid w:val="0011008F"/>
    <w:rsid w:val="00117B9D"/>
    <w:rsid w:val="00117C72"/>
    <w:rsid w:val="0013113D"/>
    <w:rsid w:val="001322FC"/>
    <w:rsid w:val="00171083"/>
    <w:rsid w:val="00172351"/>
    <w:rsid w:val="001856AB"/>
    <w:rsid w:val="00193B5E"/>
    <w:rsid w:val="001A2AF7"/>
    <w:rsid w:val="001D0007"/>
    <w:rsid w:val="001D3E3E"/>
    <w:rsid w:val="001E4519"/>
    <w:rsid w:val="001F03BC"/>
    <w:rsid w:val="001F69A8"/>
    <w:rsid w:val="001F7BD4"/>
    <w:rsid w:val="00220A26"/>
    <w:rsid w:val="0022243C"/>
    <w:rsid w:val="002242FF"/>
    <w:rsid w:val="002312CE"/>
    <w:rsid w:val="0023149A"/>
    <w:rsid w:val="0023696B"/>
    <w:rsid w:val="0024086E"/>
    <w:rsid w:val="0025498B"/>
    <w:rsid w:val="00273642"/>
    <w:rsid w:val="00292A2D"/>
    <w:rsid w:val="00296DA3"/>
    <w:rsid w:val="002A2339"/>
    <w:rsid w:val="002A5A83"/>
    <w:rsid w:val="002C2511"/>
    <w:rsid w:val="002D4340"/>
    <w:rsid w:val="00304F8A"/>
    <w:rsid w:val="00327E73"/>
    <w:rsid w:val="00333392"/>
    <w:rsid w:val="00355CE0"/>
    <w:rsid w:val="00363A30"/>
    <w:rsid w:val="0037243A"/>
    <w:rsid w:val="00375EA0"/>
    <w:rsid w:val="00381BD2"/>
    <w:rsid w:val="00382FE8"/>
    <w:rsid w:val="00383BBF"/>
    <w:rsid w:val="0038593F"/>
    <w:rsid w:val="003A05FC"/>
    <w:rsid w:val="003A166F"/>
    <w:rsid w:val="003A18C5"/>
    <w:rsid w:val="003A19EB"/>
    <w:rsid w:val="003A5ED7"/>
    <w:rsid w:val="003B0883"/>
    <w:rsid w:val="003B3832"/>
    <w:rsid w:val="003C2407"/>
    <w:rsid w:val="003C2C31"/>
    <w:rsid w:val="003C5428"/>
    <w:rsid w:val="003C7725"/>
    <w:rsid w:val="003D3F7C"/>
    <w:rsid w:val="003F25A4"/>
    <w:rsid w:val="003F2A97"/>
    <w:rsid w:val="003F722A"/>
    <w:rsid w:val="00402397"/>
    <w:rsid w:val="004111DE"/>
    <w:rsid w:val="0041418A"/>
    <w:rsid w:val="0043110C"/>
    <w:rsid w:val="00435AA8"/>
    <w:rsid w:val="00437970"/>
    <w:rsid w:val="00467A15"/>
    <w:rsid w:val="00471256"/>
    <w:rsid w:val="004755A8"/>
    <w:rsid w:val="00485787"/>
    <w:rsid w:val="004B3C7C"/>
    <w:rsid w:val="004D63BB"/>
    <w:rsid w:val="004E0191"/>
    <w:rsid w:val="004F2F1E"/>
    <w:rsid w:val="004F3196"/>
    <w:rsid w:val="005209CF"/>
    <w:rsid w:val="00534BEA"/>
    <w:rsid w:val="00536426"/>
    <w:rsid w:val="00543F86"/>
    <w:rsid w:val="0055461D"/>
    <w:rsid w:val="005617AF"/>
    <w:rsid w:val="00567329"/>
    <w:rsid w:val="00584039"/>
    <w:rsid w:val="0058465A"/>
    <w:rsid w:val="00590DF3"/>
    <w:rsid w:val="005A2A02"/>
    <w:rsid w:val="005A54C3"/>
    <w:rsid w:val="005B4C7D"/>
    <w:rsid w:val="005C04B1"/>
    <w:rsid w:val="005C7E5A"/>
    <w:rsid w:val="005C7F0A"/>
    <w:rsid w:val="005D0DAD"/>
    <w:rsid w:val="005D0FE6"/>
    <w:rsid w:val="005F2A24"/>
    <w:rsid w:val="006043FB"/>
    <w:rsid w:val="00607227"/>
    <w:rsid w:val="006109F7"/>
    <w:rsid w:val="00614BBE"/>
    <w:rsid w:val="00627C4A"/>
    <w:rsid w:val="00645DB2"/>
    <w:rsid w:val="00647814"/>
    <w:rsid w:val="0067394F"/>
    <w:rsid w:val="0067530B"/>
    <w:rsid w:val="0067795B"/>
    <w:rsid w:val="00683D0C"/>
    <w:rsid w:val="00686C51"/>
    <w:rsid w:val="00687C2C"/>
    <w:rsid w:val="0069192D"/>
    <w:rsid w:val="006B7AB8"/>
    <w:rsid w:val="006C0F51"/>
    <w:rsid w:val="006C6946"/>
    <w:rsid w:val="006D18F6"/>
    <w:rsid w:val="006D428E"/>
    <w:rsid w:val="006F5999"/>
    <w:rsid w:val="00723577"/>
    <w:rsid w:val="0072682D"/>
    <w:rsid w:val="00736440"/>
    <w:rsid w:val="00737875"/>
    <w:rsid w:val="00740A3F"/>
    <w:rsid w:val="00741880"/>
    <w:rsid w:val="007545AB"/>
    <w:rsid w:val="007571A6"/>
    <w:rsid w:val="007B0F70"/>
    <w:rsid w:val="007B6511"/>
    <w:rsid w:val="007C15EA"/>
    <w:rsid w:val="007E0EF5"/>
    <w:rsid w:val="007E667B"/>
    <w:rsid w:val="00822596"/>
    <w:rsid w:val="00822B3A"/>
    <w:rsid w:val="00824208"/>
    <w:rsid w:val="008308A0"/>
    <w:rsid w:val="008317E8"/>
    <w:rsid w:val="0083631B"/>
    <w:rsid w:val="00852D43"/>
    <w:rsid w:val="00865726"/>
    <w:rsid w:val="008815EE"/>
    <w:rsid w:val="00883A5C"/>
    <w:rsid w:val="0088656D"/>
    <w:rsid w:val="008A22E9"/>
    <w:rsid w:val="008A70C0"/>
    <w:rsid w:val="008B43B1"/>
    <w:rsid w:val="008C786E"/>
    <w:rsid w:val="008E3C23"/>
    <w:rsid w:val="008F00F9"/>
    <w:rsid w:val="008F51E2"/>
    <w:rsid w:val="00901EBC"/>
    <w:rsid w:val="00903048"/>
    <w:rsid w:val="009078FF"/>
    <w:rsid w:val="009457C8"/>
    <w:rsid w:val="00953FFE"/>
    <w:rsid w:val="00954208"/>
    <w:rsid w:val="0096334A"/>
    <w:rsid w:val="00964F7C"/>
    <w:rsid w:val="009703AF"/>
    <w:rsid w:val="00974174"/>
    <w:rsid w:val="009741D1"/>
    <w:rsid w:val="00974C28"/>
    <w:rsid w:val="00976E37"/>
    <w:rsid w:val="00983293"/>
    <w:rsid w:val="009A0850"/>
    <w:rsid w:val="009A171E"/>
    <w:rsid w:val="009A3B4A"/>
    <w:rsid w:val="009A645B"/>
    <w:rsid w:val="009F7856"/>
    <w:rsid w:val="00A01326"/>
    <w:rsid w:val="00A057A8"/>
    <w:rsid w:val="00A10BA1"/>
    <w:rsid w:val="00A1294A"/>
    <w:rsid w:val="00A174CC"/>
    <w:rsid w:val="00A2357C"/>
    <w:rsid w:val="00A443CA"/>
    <w:rsid w:val="00A47BEE"/>
    <w:rsid w:val="00A71D92"/>
    <w:rsid w:val="00A722B5"/>
    <w:rsid w:val="00A77B8E"/>
    <w:rsid w:val="00A82FBB"/>
    <w:rsid w:val="00A87226"/>
    <w:rsid w:val="00AA4711"/>
    <w:rsid w:val="00AD201A"/>
    <w:rsid w:val="00AD2884"/>
    <w:rsid w:val="00AD5A3A"/>
    <w:rsid w:val="00AD759B"/>
    <w:rsid w:val="00AE2E79"/>
    <w:rsid w:val="00AE528C"/>
    <w:rsid w:val="00AF16ED"/>
    <w:rsid w:val="00AF4998"/>
    <w:rsid w:val="00AF7F6E"/>
    <w:rsid w:val="00B03B7F"/>
    <w:rsid w:val="00B1187F"/>
    <w:rsid w:val="00B35CC8"/>
    <w:rsid w:val="00B47589"/>
    <w:rsid w:val="00B93118"/>
    <w:rsid w:val="00BB4F6B"/>
    <w:rsid w:val="00BC520D"/>
    <w:rsid w:val="00BD1B63"/>
    <w:rsid w:val="00BD6C0B"/>
    <w:rsid w:val="00BD7967"/>
    <w:rsid w:val="00BE092A"/>
    <w:rsid w:val="00BE4F5A"/>
    <w:rsid w:val="00C04D61"/>
    <w:rsid w:val="00C30644"/>
    <w:rsid w:val="00C4688B"/>
    <w:rsid w:val="00C55633"/>
    <w:rsid w:val="00C8775F"/>
    <w:rsid w:val="00C93D54"/>
    <w:rsid w:val="00C95FB7"/>
    <w:rsid w:val="00CB1EFD"/>
    <w:rsid w:val="00CD276E"/>
    <w:rsid w:val="00CD2C82"/>
    <w:rsid w:val="00CF59EA"/>
    <w:rsid w:val="00CF6191"/>
    <w:rsid w:val="00D04287"/>
    <w:rsid w:val="00D062BE"/>
    <w:rsid w:val="00D10857"/>
    <w:rsid w:val="00D13AD5"/>
    <w:rsid w:val="00D22882"/>
    <w:rsid w:val="00D23567"/>
    <w:rsid w:val="00D439FA"/>
    <w:rsid w:val="00D46663"/>
    <w:rsid w:val="00D77E1C"/>
    <w:rsid w:val="00DA16D3"/>
    <w:rsid w:val="00DC6A70"/>
    <w:rsid w:val="00DD58AA"/>
    <w:rsid w:val="00DE01F5"/>
    <w:rsid w:val="00E034BE"/>
    <w:rsid w:val="00E2614C"/>
    <w:rsid w:val="00E27F09"/>
    <w:rsid w:val="00E37077"/>
    <w:rsid w:val="00E461F7"/>
    <w:rsid w:val="00E50727"/>
    <w:rsid w:val="00E70659"/>
    <w:rsid w:val="00E77823"/>
    <w:rsid w:val="00E8230F"/>
    <w:rsid w:val="00E863D4"/>
    <w:rsid w:val="00E969AE"/>
    <w:rsid w:val="00EC6726"/>
    <w:rsid w:val="00ED4569"/>
    <w:rsid w:val="00EE484F"/>
    <w:rsid w:val="00EF2448"/>
    <w:rsid w:val="00F046A0"/>
    <w:rsid w:val="00F110F7"/>
    <w:rsid w:val="00F449A8"/>
    <w:rsid w:val="00F60F90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4A2F"/>
    <w:rsid w:val="00FD5C57"/>
    <w:rsid w:val="00FE55E6"/>
    <w:rsid w:val="00FF4171"/>
    <w:rsid w:val="01C796A9"/>
    <w:rsid w:val="0414902B"/>
    <w:rsid w:val="07456AB5"/>
    <w:rsid w:val="09435E19"/>
    <w:rsid w:val="11ABF076"/>
    <w:rsid w:val="1214BED0"/>
    <w:rsid w:val="1257BD69"/>
    <w:rsid w:val="145EBE88"/>
    <w:rsid w:val="15115581"/>
    <w:rsid w:val="167CF889"/>
    <w:rsid w:val="1747913C"/>
    <w:rsid w:val="177BDBD2"/>
    <w:rsid w:val="18190795"/>
    <w:rsid w:val="186B827B"/>
    <w:rsid w:val="1C1D65DF"/>
    <w:rsid w:val="1C52140F"/>
    <w:rsid w:val="221B960A"/>
    <w:rsid w:val="2590BBBB"/>
    <w:rsid w:val="2ABD9429"/>
    <w:rsid w:val="2C3D1BB6"/>
    <w:rsid w:val="2EA42A4C"/>
    <w:rsid w:val="355851D3"/>
    <w:rsid w:val="37EEF275"/>
    <w:rsid w:val="399555D9"/>
    <w:rsid w:val="3E16FC02"/>
    <w:rsid w:val="41E44C74"/>
    <w:rsid w:val="4442C270"/>
    <w:rsid w:val="46815CDD"/>
    <w:rsid w:val="4CCE1A78"/>
    <w:rsid w:val="4E79E0F9"/>
    <w:rsid w:val="55B75387"/>
    <w:rsid w:val="577E0026"/>
    <w:rsid w:val="5D18B262"/>
    <w:rsid w:val="5FE1F139"/>
    <w:rsid w:val="62319F37"/>
    <w:rsid w:val="641C83DC"/>
    <w:rsid w:val="71347116"/>
    <w:rsid w:val="73698DE2"/>
    <w:rsid w:val="740D9262"/>
    <w:rsid w:val="743756A4"/>
    <w:rsid w:val="74A3B7E7"/>
    <w:rsid w:val="76456008"/>
    <w:rsid w:val="7E60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0FD21F4A-0F3C-4668-B650-5A0A496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welab.ucsc.edu/tRNAscan-SE/" TargetMode="External"/><Relationship Id="rId17" Type="http://schemas.openxmlformats.org/officeDocument/2006/relationships/hyperlink" Target="http://phylogeny.lirmm.f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ictv.global/s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66</cp:revision>
  <dcterms:created xsi:type="dcterms:W3CDTF">2025-03-25T08:46:00Z</dcterms:created>
  <dcterms:modified xsi:type="dcterms:W3CDTF">2025-09-18T08:04:00Z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