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0BC2" w14:textId="77777777" w:rsidR="00AA601F" w:rsidRDefault="007F03D8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539E1E0" wp14:editId="289B4045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4A6BFD4C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2BE13510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79BD623A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716E4CD8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F86EB63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601049D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01AD818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7AE66670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E1017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A0C" w14:textId="35AFE6B2" w:rsidR="006D1B4E" w:rsidRPr="009320C8" w:rsidRDefault="0052340B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</w:rPr>
              <w:t>2018.014P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73DCB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1F79AF6C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3F4C55B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104418D7" w14:textId="3CACD4CC" w:rsidR="00CF0A9B" w:rsidRPr="006B4052" w:rsidRDefault="00BA2661" w:rsidP="00CF0A9B">
            <w:pPr>
              <w:spacing w:before="120"/>
              <w:rPr>
                <w:rFonts w:ascii="Arial" w:hAnsi="Arial" w:cs="Arial"/>
              </w:rPr>
            </w:pPr>
            <w:r w:rsidRPr="00991907">
              <w:rPr>
                <w:rFonts w:ascii="Arial" w:hAnsi="Arial" w:cs="Arial"/>
                <w:bCs/>
                <w:i/>
              </w:rPr>
              <w:t>Grapevine virus J</w:t>
            </w:r>
            <w:r w:rsidRPr="006B4052">
              <w:rPr>
                <w:rFonts w:ascii="Arial" w:hAnsi="Arial" w:cs="Arial"/>
                <w:bCs/>
              </w:rPr>
              <w:t>, a n</w:t>
            </w:r>
            <w:r w:rsidR="00991907">
              <w:rPr>
                <w:rFonts w:ascii="Arial" w:hAnsi="Arial" w:cs="Arial"/>
                <w:bCs/>
              </w:rPr>
              <w:t>ew</w:t>
            </w:r>
            <w:r w:rsidRPr="006B4052">
              <w:rPr>
                <w:rFonts w:ascii="Arial" w:hAnsi="Arial" w:cs="Arial"/>
                <w:bCs/>
              </w:rPr>
              <w:t xml:space="preserve"> species in the genus </w:t>
            </w:r>
            <w:r w:rsidRPr="006B4052">
              <w:rPr>
                <w:rFonts w:ascii="Arial" w:hAnsi="Arial" w:cs="Arial"/>
                <w:bCs/>
                <w:i/>
              </w:rPr>
              <w:t>Vitivirus</w:t>
            </w:r>
          </w:p>
        </w:tc>
      </w:tr>
      <w:tr w:rsidR="00CF0A9B" w:rsidRPr="001E492D" w14:paraId="5EBB5896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B885F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0FD8BAA6" w14:textId="77777777">
        <w:tc>
          <w:tcPr>
            <w:tcW w:w="9468" w:type="dxa"/>
            <w:gridSpan w:val="4"/>
          </w:tcPr>
          <w:p w14:paraId="5442558C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91907" w14:paraId="42D4AA33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D2B" w14:textId="77777777" w:rsidR="00636B14" w:rsidRPr="006B4052" w:rsidRDefault="00BA2661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es-MX"/>
              </w:rPr>
            </w:pPr>
            <w:r w:rsidRPr="006B4052">
              <w:rPr>
                <w:rFonts w:ascii="Arial" w:hAnsi="Arial" w:cs="Arial"/>
                <w:iCs/>
                <w:color w:val="000000"/>
                <w:lang w:val="es-MX"/>
              </w:rPr>
              <w:t>Alfredo Diaz-Lara, Deborah Golino, Maher Al Rwahnih</w:t>
            </w:r>
          </w:p>
        </w:tc>
      </w:tr>
      <w:tr w:rsidR="00CE5ECF" w:rsidRPr="009320C8" w14:paraId="4EB33130" w14:textId="77777777" w:rsidTr="003B1954">
        <w:tc>
          <w:tcPr>
            <w:tcW w:w="9468" w:type="dxa"/>
            <w:gridSpan w:val="4"/>
          </w:tcPr>
          <w:p w14:paraId="73924D7A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10F9A0CB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F9E" w14:textId="11132BB1" w:rsidR="00CE5ECF" w:rsidRPr="006B4052" w:rsidRDefault="001F3E2C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6B4052">
              <w:rPr>
                <w:rFonts w:ascii="Arial" w:hAnsi="Arial" w:cs="Arial"/>
                <w:color w:val="000000"/>
              </w:rPr>
              <w:t>Maher Al Rwahnih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6B4052">
              <w:rPr>
                <w:rFonts w:ascii="Arial" w:hAnsi="Arial" w:cs="Arial"/>
                <w:color w:val="000000"/>
              </w:rPr>
              <w:t xml:space="preserve"> </w:t>
            </w:r>
            <w:r w:rsidR="00BA2661" w:rsidRPr="006B4052">
              <w:rPr>
                <w:rFonts w:ascii="Arial" w:hAnsi="Arial" w:cs="Arial"/>
                <w:color w:val="000000"/>
              </w:rPr>
              <w:t xml:space="preserve">malrwahnih@ucdavis.edu </w:t>
            </w:r>
          </w:p>
        </w:tc>
      </w:tr>
      <w:tr w:rsidR="00D1634C" w:rsidRPr="009320C8" w14:paraId="621EA0DB" w14:textId="77777777">
        <w:tc>
          <w:tcPr>
            <w:tcW w:w="9468" w:type="dxa"/>
            <w:gridSpan w:val="4"/>
          </w:tcPr>
          <w:p w14:paraId="539A50E7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1F3E2C" w:rsidRPr="009320C8" w14:paraId="68986650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3D3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appropriate subcommittee chair (there are six virus subcommittees: animal DNA and retroviruses, animal ssRNA-, animal ssRNA+, fungal and protist, plant, bacterial and archaeal)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EF91" w14:textId="30439B47" w:rsidR="001F3E2C" w:rsidRPr="00C02EDF" w:rsidRDefault="001F3E2C" w:rsidP="001F3E2C">
            <w:pPr>
              <w:rPr>
                <w:rFonts w:ascii="Arial" w:hAnsi="Arial" w:cs="Arial"/>
              </w:rPr>
            </w:pPr>
            <w:r w:rsidRPr="001B041C">
              <w:rPr>
                <w:rFonts w:ascii="Arial" w:hAnsi="Arial" w:cs="Arial"/>
                <w:i/>
              </w:rPr>
              <w:t>Beta</w:t>
            </w:r>
            <w:r w:rsidRPr="001B041C">
              <w:rPr>
                <w:rFonts w:ascii="Arial" w:hAnsi="Arial" w:cs="Arial"/>
              </w:rPr>
              <w:t xml:space="preserve">-, </w:t>
            </w:r>
            <w:r w:rsidRPr="001B041C">
              <w:rPr>
                <w:rFonts w:ascii="Arial" w:hAnsi="Arial" w:cs="Arial"/>
                <w:i/>
              </w:rPr>
              <w:t>Gamma</w:t>
            </w:r>
            <w:r w:rsidRPr="001B041C">
              <w:rPr>
                <w:rFonts w:ascii="Arial" w:hAnsi="Arial" w:cs="Arial"/>
              </w:rPr>
              <w:t xml:space="preserve">-, and </w:t>
            </w:r>
            <w:r w:rsidRPr="001B041C">
              <w:rPr>
                <w:rFonts w:ascii="Arial" w:hAnsi="Arial" w:cs="Arial"/>
                <w:i/>
              </w:rPr>
              <w:t>Deltaflexiviridae</w:t>
            </w:r>
            <w:r w:rsidRPr="001B041C">
              <w:rPr>
                <w:rFonts w:ascii="Arial" w:hAnsi="Arial" w:cs="Arial"/>
              </w:rPr>
              <w:t xml:space="preserve"> Study Group (Chair: Ioannis Tzanetakis)</w:t>
            </w:r>
          </w:p>
        </w:tc>
      </w:tr>
      <w:tr w:rsidR="001F3E2C" w:rsidRPr="009320C8" w14:paraId="64FFA943" w14:textId="77777777">
        <w:trPr>
          <w:tblHeader/>
        </w:trPr>
        <w:tc>
          <w:tcPr>
            <w:tcW w:w="9468" w:type="dxa"/>
            <w:gridSpan w:val="4"/>
          </w:tcPr>
          <w:p w14:paraId="399A06B2" w14:textId="77777777" w:rsidR="001F3E2C" w:rsidRPr="009320C8" w:rsidRDefault="001F3E2C" w:rsidP="001F3E2C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 Study Group comments (if any) and response of the proposer:</w:t>
            </w:r>
          </w:p>
        </w:tc>
      </w:tr>
      <w:tr w:rsidR="001F3E2C" w:rsidRPr="009320C8" w14:paraId="7ED9778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0D5DEF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F3E2C" w:rsidRPr="009320C8" w14:paraId="7D1861D0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77CC8BB4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1F3E2C" w:rsidRPr="009320C8" w14:paraId="6ED062B0" w14:textId="77777777" w:rsidTr="00C15EC4">
        <w:trPr>
          <w:trHeight w:val="270"/>
        </w:trPr>
        <w:tc>
          <w:tcPr>
            <w:tcW w:w="5786" w:type="dxa"/>
            <w:gridSpan w:val="3"/>
          </w:tcPr>
          <w:p w14:paraId="2B6D5848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CE09567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14</w:t>
            </w:r>
            <w:r w:rsidRPr="00F21EED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2018</w:t>
            </w:r>
          </w:p>
        </w:tc>
      </w:tr>
      <w:tr w:rsidR="001F3E2C" w:rsidRPr="009320C8" w14:paraId="32901A48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B66E4B6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560EDD0" w14:textId="77777777" w:rsidR="001F3E2C" w:rsidRPr="009320C8" w:rsidRDefault="001F3E2C" w:rsidP="001F3E2C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5D4D0E34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83E1076" w14:textId="77777777" w:rsidTr="003B1954">
        <w:tc>
          <w:tcPr>
            <w:tcW w:w="9468" w:type="dxa"/>
          </w:tcPr>
          <w:p w14:paraId="7026B6C1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6283E60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C92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10EDD1B4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0E929E4A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29CF43B1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23D028E7" w14:textId="77777777">
        <w:trPr>
          <w:tblHeader/>
        </w:trPr>
        <w:tc>
          <w:tcPr>
            <w:tcW w:w="9468" w:type="dxa"/>
          </w:tcPr>
          <w:p w14:paraId="0F64A9BB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130F2915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7CB2" w14:textId="77777777" w:rsidR="00103841" w:rsidRDefault="00103841" w:rsidP="00A11ACF">
            <w:pPr>
              <w:pStyle w:val="BodyTextIndent"/>
              <w:ind w:left="0" w:firstLine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2F108804" w14:textId="77777777" w:rsidR="00935EEB" w:rsidRDefault="00935EEB" w:rsidP="00A11ACF">
            <w:pPr>
              <w:pStyle w:val="BodyTextIndent"/>
              <w:ind w:left="0" w:firstLine="0"/>
              <w:rPr>
                <w:rFonts w:ascii="Calibri" w:hAnsi="Calibri"/>
                <w:color w:val="000000"/>
              </w:rPr>
            </w:pPr>
          </w:p>
          <w:p w14:paraId="6B46B809" w14:textId="21787AAC" w:rsidR="00935EEB" w:rsidRPr="00C61931" w:rsidRDefault="00935EEB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7A7CF30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2D31785C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DE32FDF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5C2CAC19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FB05EAB" w14:textId="4F5EAB60" w:rsidR="00FC36FB" w:rsidRPr="009320C8" w:rsidRDefault="009F32F7" w:rsidP="00935EEB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03B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2340B">
              <w:rPr>
                <w:rFonts w:ascii="Arial" w:hAnsi="Arial" w:cs="Arial"/>
                <w:sz w:val="22"/>
                <w:szCs w:val="22"/>
              </w:rPr>
              <w:t>2018.014P.N.v1.Vitivirus_</w:t>
            </w:r>
            <w:bookmarkStart w:id="0" w:name="_GoBack"/>
            <w:bookmarkEnd w:id="0"/>
            <w:r w:rsidR="0052340B">
              <w:rPr>
                <w:rFonts w:ascii="Arial" w:hAnsi="Arial" w:cs="Arial"/>
                <w:sz w:val="22"/>
                <w:szCs w:val="22"/>
              </w:rPr>
              <w:t>spe</w:t>
            </w:r>
            <w:r w:rsidR="00935EEB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</w:tbl>
    <w:p w14:paraId="38D31D2A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1612A52F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13F37A84" w14:textId="77777777" w:rsidTr="00AA601F">
        <w:trPr>
          <w:trHeight w:val="266"/>
          <w:tblHeader/>
        </w:trPr>
        <w:tc>
          <w:tcPr>
            <w:tcW w:w="9228" w:type="dxa"/>
          </w:tcPr>
          <w:p w14:paraId="6457B624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2972064F" w14:textId="77777777" w:rsidTr="001E59C1">
        <w:trPr>
          <w:trHeight w:val="1566"/>
        </w:trPr>
        <w:tc>
          <w:tcPr>
            <w:tcW w:w="9228" w:type="dxa"/>
          </w:tcPr>
          <w:p w14:paraId="7EAFE1F5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3C7C6333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0AF66449" w14:textId="77777777" w:rsidR="001E59C1" w:rsidRPr="00B91D87" w:rsidRDefault="001E59C1" w:rsidP="00F21EED">
            <w:pPr>
              <w:pStyle w:val="BodyTextIndent"/>
              <w:spacing w:after="120"/>
              <w:ind w:left="284" w:firstLine="0"/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606D7F3" w14:textId="1DE06A74" w:rsidR="00935EEB" w:rsidRDefault="00935EEB" w:rsidP="00935EEB">
      <w:pPr>
        <w:pStyle w:val="BodyTextIndent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A</w:t>
      </w:r>
      <w:r w:rsidRPr="00600FC7">
        <w:rPr>
          <w:rFonts w:ascii="Calibri" w:hAnsi="Calibri"/>
        </w:rPr>
        <w:t xml:space="preserve"> novel RNA virus</w:t>
      </w:r>
      <w:r>
        <w:rPr>
          <w:rFonts w:ascii="Calibri" w:hAnsi="Calibri"/>
        </w:rPr>
        <w:t xml:space="preserve"> was</w:t>
      </w:r>
      <w:r w:rsidRPr="00600FC7">
        <w:rPr>
          <w:rFonts w:ascii="Calibri" w:hAnsi="Calibri"/>
        </w:rPr>
        <w:t xml:space="preserve"> </w:t>
      </w:r>
      <w:r>
        <w:rPr>
          <w:rFonts w:ascii="Calibri" w:hAnsi="Calibri"/>
        </w:rPr>
        <w:t>detected</w:t>
      </w:r>
      <w:r w:rsidRPr="00600FC7">
        <w:rPr>
          <w:rFonts w:ascii="Calibri" w:hAnsi="Calibri"/>
        </w:rPr>
        <w:t xml:space="preserve"> in grapevine (</w:t>
      </w:r>
      <w:r w:rsidRPr="00600FC7">
        <w:rPr>
          <w:rFonts w:ascii="Calibri" w:hAnsi="Calibri"/>
          <w:i/>
        </w:rPr>
        <w:t>Vitis vinifera</w:t>
      </w:r>
      <w:r w:rsidRPr="00600FC7">
        <w:rPr>
          <w:rFonts w:ascii="Calibri" w:hAnsi="Calibri"/>
        </w:rPr>
        <w:t>) cultivar ‘Kizil Sapak’ by high-throughput sequencing (HTS), and named grapevine virus J (GVJ)</w:t>
      </w:r>
      <w:r>
        <w:rPr>
          <w:rFonts w:ascii="Calibri" w:hAnsi="Calibri"/>
        </w:rPr>
        <w:t xml:space="preserve"> isolate KS (</w:t>
      </w:r>
      <w:r w:rsidRPr="0009418D">
        <w:rPr>
          <w:rFonts w:ascii="Calibri" w:hAnsi="Calibri"/>
        </w:rPr>
        <w:t>Diaz-Lara</w:t>
      </w:r>
      <w:r>
        <w:rPr>
          <w:rFonts w:ascii="Calibri" w:hAnsi="Calibri"/>
        </w:rPr>
        <w:t xml:space="preserve"> et al., 2018)</w:t>
      </w:r>
      <w:r w:rsidRPr="00600FC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B22999">
        <w:rPr>
          <w:rFonts w:ascii="Calibri" w:hAnsi="Calibri"/>
          <w:color w:val="000000"/>
        </w:rPr>
        <w:t xml:space="preserve">The complete genome sequence of </w:t>
      </w:r>
      <w:r>
        <w:rPr>
          <w:rFonts w:ascii="Calibri" w:hAnsi="Calibri"/>
          <w:color w:val="000000"/>
        </w:rPr>
        <w:t>GVJ</w:t>
      </w:r>
      <w:r w:rsidRPr="00B22999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isolate KS i</w:t>
      </w:r>
      <w:r w:rsidRPr="00B22999">
        <w:rPr>
          <w:rFonts w:ascii="Calibri" w:hAnsi="Calibri"/>
          <w:color w:val="000000"/>
        </w:rPr>
        <w:t>s 7,3</w:t>
      </w:r>
      <w:r>
        <w:rPr>
          <w:rFonts w:ascii="Calibri" w:hAnsi="Calibri"/>
          <w:color w:val="000000"/>
        </w:rPr>
        <w:t>79</w:t>
      </w:r>
      <w:r w:rsidRPr="00B22999">
        <w:rPr>
          <w:rFonts w:ascii="Calibri" w:hAnsi="Calibri"/>
          <w:color w:val="000000"/>
        </w:rPr>
        <w:t xml:space="preserve"> nt long (GenBank: MG637048; </w:t>
      </w:r>
      <w:r w:rsidRPr="0009418D">
        <w:rPr>
          <w:rFonts w:ascii="Calibri" w:hAnsi="Calibri"/>
          <w:color w:val="000000"/>
        </w:rPr>
        <w:t>Fig. 1</w:t>
      </w:r>
      <w:r w:rsidRPr="00B22999"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</w:rPr>
        <w:t xml:space="preserve"> and</w:t>
      </w:r>
      <w:r w:rsidRPr="009D12F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i</w:t>
      </w:r>
      <w:r w:rsidRPr="009D12FB">
        <w:rPr>
          <w:rFonts w:ascii="Calibri" w:hAnsi="Calibri"/>
          <w:color w:val="000000"/>
        </w:rPr>
        <w:t>s integrated by five putative</w:t>
      </w:r>
      <w:r>
        <w:rPr>
          <w:rFonts w:ascii="Calibri" w:hAnsi="Calibri"/>
          <w:color w:val="000000"/>
        </w:rPr>
        <w:t xml:space="preserve"> </w:t>
      </w:r>
      <w:r w:rsidRPr="00823076">
        <w:rPr>
          <w:rFonts w:ascii="Calibri" w:hAnsi="Calibri"/>
          <w:color w:val="000000"/>
        </w:rPr>
        <w:t>open reading frames</w:t>
      </w:r>
      <w:r w:rsidRPr="009D12F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(</w:t>
      </w:r>
      <w:r w:rsidRPr="009D12FB">
        <w:rPr>
          <w:rFonts w:ascii="Calibri" w:hAnsi="Calibri"/>
          <w:color w:val="000000"/>
        </w:rPr>
        <w:t>ORFs</w:t>
      </w:r>
      <w:r>
        <w:rPr>
          <w:rFonts w:ascii="Calibri" w:hAnsi="Calibri"/>
          <w:color w:val="000000"/>
        </w:rPr>
        <w:t>)</w:t>
      </w:r>
      <w:r w:rsidRPr="009D12FB">
        <w:rPr>
          <w:rFonts w:ascii="Calibri" w:hAnsi="Calibri"/>
          <w:color w:val="000000"/>
        </w:rPr>
        <w:t xml:space="preserve"> and 5’ and 3’ untranslated regions of 95 and 69 nt respectively. ORF1 encode</w:t>
      </w:r>
      <w:r>
        <w:rPr>
          <w:rFonts w:ascii="Calibri" w:hAnsi="Calibri"/>
          <w:color w:val="000000"/>
        </w:rPr>
        <w:t>s</w:t>
      </w:r>
      <w:r w:rsidRPr="009D12FB">
        <w:rPr>
          <w:rFonts w:ascii="Calibri" w:hAnsi="Calibri"/>
          <w:color w:val="000000"/>
        </w:rPr>
        <w:t xml:space="preserve"> a polypeptide of 1,702 amino acids (aa) and comprise</w:t>
      </w:r>
      <w:r>
        <w:rPr>
          <w:rFonts w:ascii="Calibri" w:hAnsi="Calibri"/>
          <w:color w:val="000000"/>
        </w:rPr>
        <w:t>s</w:t>
      </w:r>
      <w:r w:rsidRPr="009D12FB">
        <w:rPr>
          <w:rFonts w:ascii="Calibri" w:hAnsi="Calibri"/>
          <w:color w:val="000000"/>
        </w:rPr>
        <w:t xml:space="preserve"> the following domains: viral methyltransferase; alkylation B (AlkB); viral RNA helicase; RNA-dependent RNA polymerase. A </w:t>
      </w:r>
      <w:r>
        <w:rPr>
          <w:rFonts w:ascii="Calibri" w:hAnsi="Calibri"/>
          <w:color w:val="000000"/>
        </w:rPr>
        <w:t>20</w:t>
      </w:r>
      <w:r w:rsidRPr="009D12FB">
        <w:rPr>
          <w:rFonts w:ascii="Calibri" w:hAnsi="Calibri"/>
          <w:color w:val="000000"/>
        </w:rPr>
        <w:t xml:space="preserve"> kDa protein of unknown function </w:t>
      </w:r>
      <w:r>
        <w:rPr>
          <w:rFonts w:ascii="Calibri" w:hAnsi="Calibri"/>
          <w:color w:val="000000"/>
        </w:rPr>
        <w:t>i</w:t>
      </w:r>
      <w:r w:rsidRPr="009D12FB">
        <w:rPr>
          <w:rFonts w:ascii="Calibri" w:hAnsi="Calibri"/>
          <w:color w:val="000000"/>
        </w:rPr>
        <w:t>s encoded by ORF2 (164 aa)</w:t>
      </w:r>
      <w:r>
        <w:rPr>
          <w:rFonts w:ascii="Calibri" w:hAnsi="Calibri"/>
          <w:color w:val="000000"/>
        </w:rPr>
        <w:t xml:space="preserve">, which is typical of members of the genus </w:t>
      </w:r>
      <w:r w:rsidRPr="005B6419">
        <w:rPr>
          <w:rFonts w:ascii="Calibri" w:hAnsi="Calibri"/>
          <w:i/>
          <w:color w:val="000000"/>
        </w:rPr>
        <w:t>Vitivirus</w:t>
      </w:r>
      <w:r w:rsidRPr="009D12FB">
        <w:rPr>
          <w:rFonts w:ascii="Calibri" w:hAnsi="Calibri"/>
          <w:color w:val="000000"/>
        </w:rPr>
        <w:t xml:space="preserve">. ORF3 </w:t>
      </w:r>
      <w:r>
        <w:rPr>
          <w:rFonts w:ascii="Calibri" w:hAnsi="Calibri"/>
          <w:color w:val="000000"/>
        </w:rPr>
        <w:t xml:space="preserve">corresponds to a </w:t>
      </w:r>
      <w:r w:rsidRPr="009D12FB">
        <w:rPr>
          <w:rFonts w:ascii="Calibri" w:hAnsi="Calibri"/>
          <w:color w:val="000000"/>
        </w:rPr>
        <w:t>movement protein</w:t>
      </w:r>
      <w:r>
        <w:rPr>
          <w:rFonts w:ascii="Calibri" w:hAnsi="Calibri"/>
          <w:color w:val="000000"/>
        </w:rPr>
        <w:t xml:space="preserve"> </w:t>
      </w:r>
      <w:r w:rsidRPr="009D12FB">
        <w:rPr>
          <w:rFonts w:ascii="Calibri" w:hAnsi="Calibri"/>
          <w:color w:val="000000"/>
        </w:rPr>
        <w:t>(273 aa</w:t>
      </w:r>
      <w:r>
        <w:rPr>
          <w:rFonts w:ascii="Calibri" w:hAnsi="Calibri"/>
          <w:color w:val="000000"/>
        </w:rPr>
        <w:t>)</w:t>
      </w:r>
      <w:r w:rsidRPr="009D12FB">
        <w:rPr>
          <w:rFonts w:ascii="Calibri" w:hAnsi="Calibri"/>
          <w:color w:val="000000"/>
        </w:rPr>
        <w:t xml:space="preserve">. A predicted coat protein (CP) was identified from ORF4 (197 aa). Finally, the 103 aa integrating the ORF5 </w:t>
      </w:r>
      <w:r>
        <w:rPr>
          <w:rFonts w:ascii="Calibri" w:hAnsi="Calibri"/>
          <w:color w:val="000000"/>
        </w:rPr>
        <w:t>a</w:t>
      </w:r>
      <w:r w:rsidRPr="009D12FB">
        <w:rPr>
          <w:rFonts w:ascii="Calibri" w:hAnsi="Calibri"/>
          <w:color w:val="000000"/>
        </w:rPr>
        <w:t>re associated with a putative RNA binding protein present in vitiviruses.</w:t>
      </w:r>
      <w:r>
        <w:rPr>
          <w:rFonts w:ascii="Calibri" w:hAnsi="Calibri"/>
          <w:color w:val="000000"/>
        </w:rPr>
        <w:t xml:space="preserve"> A</w:t>
      </w:r>
      <w:r w:rsidRPr="005B6419">
        <w:rPr>
          <w:rFonts w:ascii="Calibri" w:hAnsi="Calibri"/>
          <w:color w:val="000000"/>
        </w:rPr>
        <w:t xml:space="preserve"> full-length </w:t>
      </w:r>
      <w:r>
        <w:rPr>
          <w:rFonts w:ascii="Calibri" w:hAnsi="Calibri"/>
          <w:color w:val="000000"/>
        </w:rPr>
        <w:t xml:space="preserve">comparison </w:t>
      </w:r>
      <w:r w:rsidRPr="005B6419">
        <w:rPr>
          <w:rFonts w:ascii="Calibri" w:hAnsi="Calibri"/>
          <w:color w:val="000000"/>
        </w:rPr>
        <w:t>with the NCBI database</w:t>
      </w:r>
      <w:r>
        <w:rPr>
          <w:rFonts w:ascii="Calibri" w:hAnsi="Calibri"/>
          <w:color w:val="000000"/>
        </w:rPr>
        <w:t xml:space="preserve"> identified</w:t>
      </w:r>
      <w:r w:rsidRPr="005B6419">
        <w:rPr>
          <w:rFonts w:ascii="Calibri" w:hAnsi="Calibri"/>
          <w:color w:val="000000"/>
        </w:rPr>
        <w:t xml:space="preserve"> 75% identity </w:t>
      </w:r>
      <w:r>
        <w:rPr>
          <w:rFonts w:ascii="Calibri" w:hAnsi="Calibri"/>
          <w:color w:val="000000"/>
        </w:rPr>
        <w:t>(</w:t>
      </w:r>
      <w:r w:rsidRPr="005B6419">
        <w:rPr>
          <w:rFonts w:ascii="Calibri" w:hAnsi="Calibri"/>
          <w:color w:val="000000"/>
        </w:rPr>
        <w:t>12% query coverage</w:t>
      </w:r>
      <w:r>
        <w:rPr>
          <w:rFonts w:ascii="Calibri" w:hAnsi="Calibri"/>
          <w:color w:val="000000"/>
        </w:rPr>
        <w:t xml:space="preserve">) with </w:t>
      </w:r>
      <w:r w:rsidRPr="005B6419">
        <w:rPr>
          <w:rFonts w:ascii="Calibri" w:hAnsi="Calibri"/>
          <w:color w:val="000000"/>
        </w:rPr>
        <w:t>grapevine virus D (GVD)</w:t>
      </w:r>
      <w:r>
        <w:rPr>
          <w:rFonts w:ascii="Calibri" w:hAnsi="Calibri"/>
          <w:color w:val="000000"/>
        </w:rPr>
        <w:t>.</w:t>
      </w:r>
    </w:p>
    <w:p w14:paraId="6F975958" w14:textId="77777777" w:rsidR="00935EEB" w:rsidRDefault="00935EEB" w:rsidP="00935EEB">
      <w:pPr>
        <w:pStyle w:val="BodyTextIndent"/>
        <w:ind w:left="0" w:firstLine="0"/>
        <w:rPr>
          <w:rFonts w:ascii="Times New Roman" w:hAnsi="Times New Roman"/>
          <w:color w:val="000000"/>
        </w:rPr>
      </w:pPr>
    </w:p>
    <w:p w14:paraId="163A4772" w14:textId="3BCC6B83" w:rsidR="00935EEB" w:rsidRDefault="00935EEB" w:rsidP="00935EEB">
      <w:pPr>
        <w:jc w:val="both"/>
        <w:rPr>
          <w:rFonts w:ascii="Calibri" w:hAnsi="Calibri"/>
          <w:color w:val="000000"/>
        </w:rPr>
      </w:pPr>
      <w:r w:rsidRPr="003076EC">
        <w:rPr>
          <w:rFonts w:ascii="Calibri" w:hAnsi="Calibri"/>
          <w:color w:val="000000"/>
        </w:rPr>
        <w:t>Based on the genomic arrangement, sequence homology and phylogenetics</w:t>
      </w:r>
      <w:r>
        <w:rPr>
          <w:rFonts w:ascii="Calibri" w:hAnsi="Calibri"/>
          <w:color w:val="000000"/>
        </w:rPr>
        <w:t xml:space="preserve"> (Fig. 2)</w:t>
      </w:r>
      <w:r w:rsidRPr="003076EC">
        <w:rPr>
          <w:rFonts w:ascii="Calibri" w:hAnsi="Calibri"/>
          <w:color w:val="000000"/>
        </w:rPr>
        <w:t>, the</w:t>
      </w:r>
      <w:r>
        <w:rPr>
          <w:rFonts w:ascii="Calibri" w:hAnsi="Calibri"/>
          <w:color w:val="000000"/>
        </w:rPr>
        <w:t xml:space="preserve"> novel </w:t>
      </w:r>
      <w:r w:rsidRPr="003076EC">
        <w:rPr>
          <w:rFonts w:ascii="Calibri" w:hAnsi="Calibri"/>
          <w:color w:val="000000"/>
        </w:rPr>
        <w:t xml:space="preserve">virus should be placed within the genus </w:t>
      </w:r>
      <w:r w:rsidRPr="003076EC">
        <w:rPr>
          <w:rFonts w:ascii="Calibri" w:hAnsi="Calibri"/>
          <w:i/>
          <w:color w:val="000000"/>
        </w:rPr>
        <w:t>Vitivirus</w:t>
      </w:r>
      <w:r w:rsidRPr="003076EC">
        <w:rPr>
          <w:rFonts w:ascii="Calibri" w:hAnsi="Calibri"/>
          <w:color w:val="000000"/>
        </w:rPr>
        <w:t xml:space="preserve">, subfamily </w:t>
      </w:r>
      <w:r w:rsidRPr="003076EC">
        <w:rPr>
          <w:rFonts w:ascii="Calibri" w:hAnsi="Calibri"/>
          <w:i/>
          <w:color w:val="000000"/>
        </w:rPr>
        <w:t>Trivirinae</w:t>
      </w:r>
      <w:r w:rsidRPr="003076EC">
        <w:rPr>
          <w:rFonts w:ascii="Calibri" w:hAnsi="Calibri"/>
          <w:color w:val="000000"/>
        </w:rPr>
        <w:t xml:space="preserve">, family </w:t>
      </w:r>
      <w:r w:rsidRPr="003076EC">
        <w:rPr>
          <w:rFonts w:ascii="Calibri" w:hAnsi="Calibri"/>
          <w:i/>
          <w:color w:val="000000"/>
        </w:rPr>
        <w:t>Betaflexiviridae</w:t>
      </w:r>
      <w:r w:rsidRPr="003076EC">
        <w:rPr>
          <w:rFonts w:ascii="Calibri" w:hAnsi="Calibri"/>
          <w:color w:val="000000"/>
        </w:rPr>
        <w:t xml:space="preserve">. Considering the current species demarcation criteria inside the genus </w:t>
      </w:r>
      <w:r w:rsidRPr="003076EC">
        <w:rPr>
          <w:rFonts w:ascii="Calibri" w:hAnsi="Calibri"/>
          <w:i/>
          <w:color w:val="000000"/>
        </w:rPr>
        <w:t>Vitivirus</w:t>
      </w:r>
      <w:r w:rsidRPr="003076E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(King et al., 2011)</w:t>
      </w:r>
      <w:r w:rsidRPr="003076EC">
        <w:rPr>
          <w:rFonts w:ascii="Calibri" w:hAnsi="Calibri"/>
          <w:color w:val="000000"/>
        </w:rPr>
        <w:t>, GVJ</w:t>
      </w:r>
      <w:r>
        <w:rPr>
          <w:rFonts w:ascii="Calibri" w:hAnsi="Calibri"/>
          <w:color w:val="000000"/>
        </w:rPr>
        <w:t xml:space="preserve"> isolate KS</w:t>
      </w:r>
      <w:r w:rsidRPr="003076E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represents a</w:t>
      </w:r>
      <w:r w:rsidRPr="003076EC">
        <w:rPr>
          <w:rFonts w:ascii="Calibri" w:hAnsi="Calibri"/>
          <w:color w:val="000000"/>
        </w:rPr>
        <w:t xml:space="preserve"> new species</w:t>
      </w:r>
      <w:r>
        <w:rPr>
          <w:rFonts w:ascii="Calibri" w:hAnsi="Calibri"/>
          <w:color w:val="000000"/>
        </w:rPr>
        <w:t xml:space="preserve"> for which the name </w:t>
      </w:r>
      <w:r w:rsidRPr="00935EEB">
        <w:rPr>
          <w:rFonts w:ascii="Calibri" w:hAnsi="Calibri"/>
          <w:i/>
          <w:color w:val="000000"/>
        </w:rPr>
        <w:t>Grapevine virus J</w:t>
      </w:r>
      <w:r>
        <w:rPr>
          <w:rFonts w:ascii="Calibri" w:hAnsi="Calibri"/>
          <w:color w:val="000000"/>
        </w:rPr>
        <w:t xml:space="preserve"> is proposed. </w:t>
      </w:r>
      <w:r w:rsidRPr="00004166">
        <w:rPr>
          <w:rFonts w:ascii="Calibri" w:hAnsi="Calibri"/>
          <w:color w:val="000000"/>
        </w:rPr>
        <w:t xml:space="preserve">The </w:t>
      </w:r>
      <w:r>
        <w:rPr>
          <w:rFonts w:ascii="Calibri" w:hAnsi="Calibri"/>
          <w:color w:val="000000"/>
        </w:rPr>
        <w:t>replicase</w:t>
      </w:r>
      <w:r w:rsidRPr="00004166">
        <w:rPr>
          <w:rFonts w:ascii="Calibri" w:hAnsi="Calibri"/>
          <w:color w:val="000000"/>
        </w:rPr>
        <w:t xml:space="preserve"> gene of GVJ</w:t>
      </w:r>
      <w:r>
        <w:rPr>
          <w:rFonts w:ascii="Calibri" w:hAnsi="Calibri"/>
          <w:color w:val="000000"/>
        </w:rPr>
        <w:t xml:space="preserve"> isolate KS</w:t>
      </w:r>
      <w:r w:rsidRPr="00004166">
        <w:rPr>
          <w:rFonts w:ascii="Calibri" w:hAnsi="Calibri"/>
          <w:color w:val="000000"/>
        </w:rPr>
        <w:t xml:space="preserve"> shares less than 72% nt identity or 80% aa identity with </w:t>
      </w:r>
      <w:r>
        <w:rPr>
          <w:rFonts w:ascii="Calibri" w:hAnsi="Calibri"/>
          <w:color w:val="000000"/>
        </w:rPr>
        <w:t xml:space="preserve">those from </w:t>
      </w:r>
      <w:r w:rsidRPr="00004166">
        <w:rPr>
          <w:rFonts w:ascii="Calibri" w:hAnsi="Calibri"/>
          <w:color w:val="000000"/>
        </w:rPr>
        <w:t>other</w:t>
      </w:r>
      <w:r>
        <w:rPr>
          <w:rFonts w:ascii="Calibri" w:hAnsi="Calibri"/>
          <w:color w:val="000000"/>
        </w:rPr>
        <w:t xml:space="preserve"> v</w:t>
      </w:r>
      <w:r w:rsidRPr="00004166">
        <w:rPr>
          <w:rFonts w:ascii="Calibri" w:hAnsi="Calibri"/>
          <w:color w:val="000000"/>
        </w:rPr>
        <w:t>itivirus</w:t>
      </w:r>
      <w:r>
        <w:rPr>
          <w:rFonts w:ascii="Calibri" w:hAnsi="Calibri"/>
          <w:color w:val="000000"/>
        </w:rPr>
        <w:t>es.</w:t>
      </w:r>
    </w:p>
    <w:p w14:paraId="57473C2F" w14:textId="77777777" w:rsidR="00935EEB" w:rsidRDefault="00935EEB" w:rsidP="00935EEB">
      <w:pPr>
        <w:rPr>
          <w:rFonts w:ascii="Calibri" w:hAnsi="Calibri"/>
          <w:color w:val="000000"/>
        </w:rPr>
      </w:pPr>
    </w:p>
    <w:p w14:paraId="1668CA9C" w14:textId="54D3AAAB" w:rsidR="00655F56" w:rsidRPr="00935EEB" w:rsidRDefault="00655F56" w:rsidP="00935EEB">
      <w:pPr>
        <w:rPr>
          <w:rFonts w:asciiTheme="minorHAnsi" w:hAnsiTheme="minorHAnsi" w:cstheme="minorHAnsi"/>
        </w:rPr>
      </w:pPr>
      <w:r w:rsidRPr="00935EEB">
        <w:rPr>
          <w:rFonts w:asciiTheme="minorHAnsi" w:hAnsiTheme="minorHAnsi" w:cstheme="minorHAnsi"/>
        </w:rPr>
        <w:t xml:space="preserve">The criteria demarcating species in the genus </w:t>
      </w:r>
      <w:r w:rsidRPr="00935EEB">
        <w:rPr>
          <w:rFonts w:asciiTheme="minorHAnsi" w:hAnsiTheme="minorHAnsi" w:cstheme="minorHAnsi"/>
          <w:i/>
        </w:rPr>
        <w:t>Vitivirus</w:t>
      </w:r>
      <w:r w:rsidRPr="00935EEB">
        <w:rPr>
          <w:rFonts w:asciiTheme="minorHAnsi" w:hAnsiTheme="minorHAnsi" w:cstheme="minorHAnsi"/>
        </w:rPr>
        <w:t xml:space="preserve"> are:</w:t>
      </w:r>
    </w:p>
    <w:p w14:paraId="4D318834" w14:textId="290327E3" w:rsidR="00B263AA" w:rsidRPr="00935EEB" w:rsidRDefault="00B263AA" w:rsidP="00935EEB">
      <w:pPr>
        <w:numPr>
          <w:ilvl w:val="0"/>
          <w:numId w:val="25"/>
        </w:numPr>
        <w:ind w:hanging="294"/>
        <w:rPr>
          <w:rFonts w:asciiTheme="minorHAnsi" w:hAnsiTheme="minorHAnsi" w:cstheme="minorHAnsi"/>
        </w:rPr>
      </w:pPr>
      <w:r w:rsidRPr="00935EEB">
        <w:rPr>
          <w:rFonts w:asciiTheme="minorHAnsi" w:hAnsiTheme="minorHAnsi" w:cstheme="minorHAnsi"/>
        </w:rPr>
        <w:t>The natural host range</w:t>
      </w:r>
      <w:r w:rsidR="00935EEB">
        <w:rPr>
          <w:rFonts w:asciiTheme="minorHAnsi" w:hAnsiTheme="minorHAnsi" w:cstheme="minorHAnsi"/>
        </w:rPr>
        <w:t>:</w:t>
      </w:r>
      <w:r w:rsidRPr="00935EEB">
        <w:rPr>
          <w:rFonts w:asciiTheme="minorHAnsi" w:hAnsiTheme="minorHAnsi" w:cstheme="minorHAnsi"/>
        </w:rPr>
        <w:t xml:space="preserve"> Grapevine</w:t>
      </w:r>
    </w:p>
    <w:p w14:paraId="00432250" w14:textId="0D3A5A39" w:rsidR="00B263AA" w:rsidRPr="00935EEB" w:rsidRDefault="00B263AA" w:rsidP="00935EEB">
      <w:pPr>
        <w:numPr>
          <w:ilvl w:val="0"/>
          <w:numId w:val="25"/>
        </w:numPr>
        <w:ind w:hanging="294"/>
        <w:rPr>
          <w:rFonts w:asciiTheme="minorHAnsi" w:hAnsiTheme="minorHAnsi" w:cstheme="minorHAnsi"/>
        </w:rPr>
      </w:pPr>
      <w:r w:rsidRPr="00935EEB">
        <w:rPr>
          <w:rFonts w:asciiTheme="minorHAnsi" w:hAnsiTheme="minorHAnsi" w:cstheme="minorHAnsi"/>
        </w:rPr>
        <w:t>Serological specificity using discriminatory polyclonal and monoclonal antibodies</w:t>
      </w:r>
      <w:r w:rsidR="00935EEB" w:rsidRPr="00935EEB">
        <w:rPr>
          <w:rFonts w:asciiTheme="minorHAnsi" w:hAnsiTheme="minorHAnsi" w:cstheme="minorHAnsi"/>
        </w:rPr>
        <w:t>:</w:t>
      </w:r>
      <w:r w:rsidRPr="00935EEB">
        <w:rPr>
          <w:rFonts w:asciiTheme="minorHAnsi" w:hAnsiTheme="minorHAnsi" w:cstheme="minorHAnsi"/>
        </w:rPr>
        <w:t xml:space="preserve"> N/A</w:t>
      </w:r>
    </w:p>
    <w:p w14:paraId="2A880E5C" w14:textId="1088A4D0" w:rsidR="00B263AA" w:rsidRPr="00935EEB" w:rsidRDefault="00B263AA" w:rsidP="00935EEB">
      <w:pPr>
        <w:numPr>
          <w:ilvl w:val="0"/>
          <w:numId w:val="25"/>
        </w:numPr>
        <w:ind w:hanging="294"/>
        <w:rPr>
          <w:rFonts w:asciiTheme="minorHAnsi" w:hAnsiTheme="minorHAnsi" w:cstheme="minorHAnsi"/>
        </w:rPr>
      </w:pPr>
      <w:r w:rsidRPr="00935EEB">
        <w:rPr>
          <w:rFonts w:asciiTheme="minorHAnsi" w:hAnsiTheme="minorHAnsi" w:cstheme="minorHAnsi"/>
        </w:rPr>
        <w:t>Epidemiology: individual species or groups of species are transmitted by different types and species of vectors</w:t>
      </w:r>
      <w:r w:rsidR="00935EEB" w:rsidRPr="00935EEB">
        <w:rPr>
          <w:rFonts w:asciiTheme="minorHAnsi" w:hAnsiTheme="minorHAnsi" w:cstheme="minorHAnsi"/>
        </w:rPr>
        <w:t>,</w:t>
      </w:r>
      <w:r w:rsidRPr="00935EEB">
        <w:rPr>
          <w:rFonts w:asciiTheme="minorHAnsi" w:hAnsiTheme="minorHAnsi" w:cstheme="minorHAnsi"/>
        </w:rPr>
        <w:t xml:space="preserve"> N/A</w:t>
      </w:r>
    </w:p>
    <w:p w14:paraId="409BBB36" w14:textId="36668D71" w:rsidR="00B263AA" w:rsidRPr="00935EEB" w:rsidRDefault="00B263AA" w:rsidP="00935EEB">
      <w:pPr>
        <w:numPr>
          <w:ilvl w:val="0"/>
          <w:numId w:val="25"/>
        </w:numPr>
        <w:ind w:hanging="294"/>
        <w:rPr>
          <w:rFonts w:asciiTheme="minorHAnsi" w:hAnsiTheme="minorHAnsi" w:cstheme="minorHAnsi"/>
        </w:rPr>
      </w:pPr>
      <w:r w:rsidRPr="00935EEB">
        <w:rPr>
          <w:rFonts w:asciiTheme="minorHAnsi" w:hAnsiTheme="minorHAnsi" w:cstheme="minorHAnsi"/>
        </w:rPr>
        <w:t>Differences in dsRNA pattern</w:t>
      </w:r>
      <w:r w:rsidR="00935EEB" w:rsidRPr="00935EEB">
        <w:rPr>
          <w:rFonts w:asciiTheme="minorHAnsi" w:hAnsiTheme="minorHAnsi" w:cstheme="minorHAnsi"/>
        </w:rPr>
        <w:t>:</w:t>
      </w:r>
      <w:r w:rsidRPr="00935EEB">
        <w:rPr>
          <w:rFonts w:asciiTheme="minorHAnsi" w:hAnsiTheme="minorHAnsi" w:cstheme="minorHAnsi"/>
        </w:rPr>
        <w:t xml:space="preserve"> N/A</w:t>
      </w:r>
    </w:p>
    <w:p w14:paraId="3169DC09" w14:textId="16054746" w:rsidR="00655F56" w:rsidRPr="00935EEB" w:rsidRDefault="00B263AA" w:rsidP="00935EEB">
      <w:pPr>
        <w:numPr>
          <w:ilvl w:val="0"/>
          <w:numId w:val="25"/>
        </w:numPr>
        <w:ind w:left="709" w:hanging="294"/>
        <w:rPr>
          <w:rFonts w:asciiTheme="minorHAnsi" w:hAnsiTheme="minorHAnsi" w:cstheme="minorHAnsi"/>
          <w:b/>
        </w:rPr>
      </w:pPr>
      <w:r w:rsidRPr="00935EEB">
        <w:rPr>
          <w:rFonts w:asciiTheme="minorHAnsi" w:hAnsiTheme="minorHAnsi" w:cstheme="minorHAnsi"/>
        </w:rPr>
        <w:t>Less than about 72% nt identity (or 80% aa identity) between their CP or polymerase genes</w:t>
      </w:r>
      <w:r w:rsidR="00935EEB" w:rsidRPr="00935EEB">
        <w:rPr>
          <w:rFonts w:asciiTheme="minorHAnsi" w:hAnsiTheme="minorHAnsi" w:cstheme="minorHAnsi"/>
        </w:rPr>
        <w:t xml:space="preserve">: </w:t>
      </w:r>
      <w:r w:rsidR="00955ADB" w:rsidRPr="00935EEB">
        <w:rPr>
          <w:rFonts w:asciiTheme="minorHAnsi" w:hAnsiTheme="minorHAnsi" w:cstheme="minorHAnsi"/>
        </w:rPr>
        <w:t>The p</w:t>
      </w:r>
      <w:r w:rsidR="00655F56" w:rsidRPr="00935EEB">
        <w:rPr>
          <w:rFonts w:asciiTheme="minorHAnsi" w:hAnsiTheme="minorHAnsi" w:cstheme="minorHAnsi"/>
        </w:rPr>
        <w:t>olymerase gene</w:t>
      </w:r>
      <w:r w:rsidR="00241680" w:rsidRPr="00935EEB">
        <w:rPr>
          <w:rFonts w:asciiTheme="minorHAnsi" w:hAnsiTheme="minorHAnsi" w:cstheme="minorHAnsi"/>
        </w:rPr>
        <w:t xml:space="preserve"> of GVJ s</w:t>
      </w:r>
      <w:r w:rsidR="00955ADB" w:rsidRPr="00935EEB">
        <w:rPr>
          <w:rFonts w:asciiTheme="minorHAnsi" w:hAnsiTheme="minorHAnsi" w:cstheme="minorHAnsi"/>
        </w:rPr>
        <w:t>hares</w:t>
      </w:r>
      <w:r w:rsidR="00655F56" w:rsidRPr="00935EEB">
        <w:rPr>
          <w:rFonts w:asciiTheme="minorHAnsi" w:hAnsiTheme="minorHAnsi" w:cstheme="minorHAnsi"/>
        </w:rPr>
        <w:t xml:space="preserve"> less than</w:t>
      </w:r>
      <w:r w:rsidR="00241680" w:rsidRPr="00935EEB">
        <w:rPr>
          <w:rFonts w:asciiTheme="minorHAnsi" w:hAnsiTheme="minorHAnsi" w:cstheme="minorHAnsi"/>
        </w:rPr>
        <w:t xml:space="preserve"> 72% nt identity or</w:t>
      </w:r>
      <w:r w:rsidR="00655F56" w:rsidRPr="00935EEB">
        <w:rPr>
          <w:rFonts w:asciiTheme="minorHAnsi" w:hAnsiTheme="minorHAnsi" w:cstheme="minorHAnsi"/>
        </w:rPr>
        <w:t xml:space="preserve"> 80% aa identity with other </w:t>
      </w:r>
      <w:r w:rsidR="00241680" w:rsidRPr="00935EEB">
        <w:rPr>
          <w:rFonts w:asciiTheme="minorHAnsi" w:hAnsiTheme="minorHAnsi" w:cstheme="minorHAnsi"/>
        </w:rPr>
        <w:t xml:space="preserve">species in the genus </w:t>
      </w:r>
      <w:r w:rsidR="00241680" w:rsidRPr="00935EEB">
        <w:rPr>
          <w:rFonts w:asciiTheme="minorHAnsi" w:hAnsiTheme="minorHAnsi" w:cstheme="minorHAnsi"/>
          <w:i/>
        </w:rPr>
        <w:t>Vitivirus</w:t>
      </w:r>
      <w:r w:rsidR="00241680" w:rsidRPr="00935EEB">
        <w:rPr>
          <w:rFonts w:asciiTheme="minorHAnsi" w:hAnsiTheme="minorHAnsi" w:cstheme="minorHAnsi"/>
        </w:rPr>
        <w:t>.</w:t>
      </w:r>
      <w:r w:rsidR="00955ADB" w:rsidRPr="00935EEB">
        <w:rPr>
          <w:rFonts w:asciiTheme="minorHAnsi" w:hAnsiTheme="minorHAnsi" w:cstheme="minorHAnsi"/>
        </w:rPr>
        <w:t xml:space="preserve"> </w:t>
      </w:r>
      <w:r w:rsidR="00C02EDF" w:rsidRPr="00935EEB">
        <w:rPr>
          <w:rFonts w:asciiTheme="minorHAnsi" w:hAnsiTheme="minorHAnsi" w:cstheme="minorHAnsi"/>
        </w:rPr>
        <w:t xml:space="preserve">Based on </w:t>
      </w:r>
      <w:r w:rsidR="00955ADB" w:rsidRPr="00935EEB">
        <w:rPr>
          <w:rFonts w:asciiTheme="minorHAnsi" w:hAnsiTheme="minorHAnsi" w:cstheme="minorHAnsi"/>
        </w:rPr>
        <w:t>this sequence, the closest relative</w:t>
      </w:r>
      <w:r w:rsidR="00C02EDF" w:rsidRPr="00935EEB">
        <w:rPr>
          <w:rFonts w:asciiTheme="minorHAnsi" w:hAnsiTheme="minorHAnsi" w:cstheme="minorHAnsi"/>
        </w:rPr>
        <w:t xml:space="preserve"> of GVJ</w:t>
      </w:r>
      <w:r w:rsidR="00955ADB" w:rsidRPr="00935EEB">
        <w:rPr>
          <w:rFonts w:asciiTheme="minorHAnsi" w:hAnsiTheme="minorHAnsi" w:cstheme="minorHAnsi"/>
        </w:rPr>
        <w:t xml:space="preserve"> is the species </w:t>
      </w:r>
      <w:r w:rsidR="006B4052" w:rsidRPr="00935EEB">
        <w:rPr>
          <w:rFonts w:asciiTheme="minorHAnsi" w:hAnsiTheme="minorHAnsi" w:cstheme="minorHAnsi"/>
          <w:i/>
        </w:rPr>
        <w:t>G</w:t>
      </w:r>
      <w:r w:rsidR="00955ADB" w:rsidRPr="00935EEB">
        <w:rPr>
          <w:rFonts w:asciiTheme="minorHAnsi" w:hAnsiTheme="minorHAnsi" w:cstheme="minorHAnsi"/>
          <w:i/>
        </w:rPr>
        <w:t>rapevine virus D</w:t>
      </w:r>
      <w:r w:rsidR="00955ADB" w:rsidRPr="00935EEB">
        <w:rPr>
          <w:rFonts w:asciiTheme="minorHAnsi" w:hAnsiTheme="minorHAnsi" w:cstheme="minorHAnsi"/>
        </w:rPr>
        <w:t xml:space="preserve"> (GVD),</w:t>
      </w:r>
      <w:r w:rsidR="00655F56" w:rsidRPr="00935EEB">
        <w:rPr>
          <w:rFonts w:asciiTheme="minorHAnsi" w:hAnsiTheme="minorHAnsi" w:cstheme="minorHAnsi"/>
        </w:rPr>
        <w:t xml:space="preserve"> </w:t>
      </w:r>
      <w:r w:rsidR="00955ADB" w:rsidRPr="00935EEB">
        <w:rPr>
          <w:rFonts w:asciiTheme="minorHAnsi" w:hAnsiTheme="minorHAnsi" w:cstheme="minorHAnsi"/>
        </w:rPr>
        <w:t xml:space="preserve">with 69% nt and 66% aa identities. </w:t>
      </w:r>
    </w:p>
    <w:p w14:paraId="12A3F2F5" w14:textId="77777777" w:rsidR="00935EEB" w:rsidRPr="00935EEB" w:rsidRDefault="00935EEB" w:rsidP="00935EEB">
      <w:pPr>
        <w:rPr>
          <w:rFonts w:asciiTheme="minorHAnsi" w:hAnsiTheme="minorHAnsi" w:cstheme="minorHAnsi"/>
          <w:b/>
        </w:rPr>
      </w:pPr>
    </w:p>
    <w:p w14:paraId="452B21CE" w14:textId="77777777" w:rsidR="00F21EED" w:rsidRDefault="00F21EED" w:rsidP="00655F56">
      <w:pPr>
        <w:rPr>
          <w:rFonts w:ascii="Arial" w:hAnsi="Arial" w:cs="Arial"/>
        </w:rPr>
      </w:pPr>
    </w:p>
    <w:p w14:paraId="22BCC231" w14:textId="77777777" w:rsidR="00F21EED" w:rsidRDefault="00F21EED" w:rsidP="00F21EED">
      <w:pPr>
        <w:pStyle w:val="BodyTextIndent"/>
        <w:numPr>
          <w:ilvl w:val="0"/>
          <w:numId w:val="24"/>
        </w:numPr>
        <w:spacing w:after="120"/>
        <w:ind w:left="567" w:hanging="283"/>
        <w:rPr>
          <w:rFonts w:ascii="Arial" w:hAnsi="Arial" w:cs="Arial"/>
          <w:color w:val="0000FF"/>
          <w:sz w:val="20"/>
        </w:rPr>
      </w:pPr>
      <w:r w:rsidRPr="008F03D2">
        <w:rPr>
          <w:rFonts w:ascii="Arial" w:hAnsi="Arial" w:cs="Arial"/>
          <w:b/>
          <w:color w:val="0000FF"/>
          <w:sz w:val="20"/>
        </w:rPr>
        <w:lastRenderedPageBreak/>
        <w:t>Supporting evidence</w:t>
      </w:r>
      <w:r>
        <w:rPr>
          <w:rFonts w:ascii="Arial" w:hAnsi="Arial" w:cs="Arial"/>
          <w:color w:val="0000FF"/>
          <w:sz w:val="20"/>
        </w:rPr>
        <w:t xml:space="preserve">: </w:t>
      </w:r>
      <w:r w:rsidRPr="00F657DF">
        <w:rPr>
          <w:rFonts w:ascii="Arial" w:hAnsi="Arial" w:cs="Arial"/>
          <w:color w:val="0000FF"/>
          <w:sz w:val="20"/>
        </w:rPr>
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</w:r>
    </w:p>
    <w:p w14:paraId="3E7289EC" w14:textId="77777777" w:rsidR="00F21EED" w:rsidRDefault="00F21EED" w:rsidP="00F21EED">
      <w:pPr>
        <w:pStyle w:val="BodyTextIndent"/>
        <w:spacing w:after="120"/>
        <w:rPr>
          <w:rFonts w:ascii="Arial" w:hAnsi="Arial" w:cs="Arial"/>
          <w:color w:val="0000FF"/>
          <w:sz w:val="20"/>
        </w:rPr>
      </w:pPr>
    </w:p>
    <w:p w14:paraId="1F0FDD4C" w14:textId="77777777" w:rsidR="00F21EED" w:rsidRDefault="00F21EED" w:rsidP="00F21EED">
      <w:pPr>
        <w:pStyle w:val="BodyTextIndent"/>
        <w:spacing w:after="120"/>
        <w:rPr>
          <w:rFonts w:ascii="Arial" w:hAnsi="Arial" w:cs="Arial"/>
          <w:color w:val="0000FF"/>
          <w:sz w:val="20"/>
        </w:rPr>
      </w:pPr>
    </w:p>
    <w:p w14:paraId="3EA95E70" w14:textId="77777777" w:rsidR="00F21EED" w:rsidRDefault="00F21EED" w:rsidP="00F21EED">
      <w:pPr>
        <w:pStyle w:val="BodyTextIndent"/>
        <w:spacing w:after="120"/>
        <w:rPr>
          <w:rFonts w:ascii="Arial" w:hAnsi="Arial" w:cs="Arial"/>
          <w:color w:val="0000FF"/>
          <w:sz w:val="20"/>
        </w:rPr>
      </w:pPr>
    </w:p>
    <w:p w14:paraId="372F03CB" w14:textId="77616F49" w:rsidR="00B70C83" w:rsidRDefault="00B70C83" w:rsidP="00F21EED">
      <w:pPr>
        <w:pStyle w:val="BodyTextIndent"/>
        <w:spacing w:after="120"/>
        <w:rPr>
          <w:rFonts w:ascii="Arial" w:hAnsi="Arial" w:cs="Arial"/>
        </w:rPr>
      </w:pPr>
      <w:r>
        <w:rPr>
          <w:noProof/>
          <w:lang w:val="en-GB"/>
        </w:rPr>
        <w:drawing>
          <wp:inline distT="0" distB="0" distL="0" distR="0" wp14:anchorId="0E5F5AF1" wp14:editId="7B0725B9">
            <wp:extent cx="6007735" cy="4725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4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E228E" w14:textId="5DF3036E" w:rsidR="00F21EED" w:rsidRPr="00935EEB" w:rsidRDefault="00C7540C" w:rsidP="00B70C83">
      <w:pPr>
        <w:pStyle w:val="BodyTextIndent"/>
        <w:spacing w:after="120"/>
        <w:ind w:left="0" w:firstLine="0"/>
        <w:rPr>
          <w:rFonts w:asciiTheme="minorHAnsi" w:hAnsiTheme="minorHAnsi" w:cstheme="minorHAnsi"/>
          <w:color w:val="0000FF"/>
          <w:sz w:val="20"/>
        </w:rPr>
      </w:pPr>
      <w:r w:rsidRPr="00935EEB">
        <w:rPr>
          <w:rFonts w:asciiTheme="minorHAnsi" w:hAnsiTheme="minorHAnsi" w:cstheme="minorHAnsi"/>
          <w:b/>
        </w:rPr>
        <w:t>Figure 1.</w:t>
      </w:r>
      <w:r w:rsidR="00B70C83" w:rsidRPr="00935EEB">
        <w:rPr>
          <w:rFonts w:asciiTheme="minorHAnsi" w:hAnsiTheme="minorHAnsi" w:cstheme="minorHAnsi"/>
          <w:b/>
        </w:rPr>
        <w:t xml:space="preserve"> </w:t>
      </w:r>
      <w:r w:rsidR="00B70C83" w:rsidRPr="00935EEB">
        <w:rPr>
          <w:rFonts w:asciiTheme="minorHAnsi" w:hAnsiTheme="minorHAnsi" w:cstheme="minorHAnsi"/>
        </w:rPr>
        <w:t>Genome organization of the KS isolate of grapevine virus J (GVJ). Five predicted open reading frames (ORFs)</w:t>
      </w:r>
      <w:r w:rsidR="00935EEB">
        <w:rPr>
          <w:rFonts w:asciiTheme="minorHAnsi" w:hAnsiTheme="minorHAnsi" w:cstheme="minorHAnsi"/>
        </w:rPr>
        <w:t xml:space="preserve"> are:</w:t>
      </w:r>
      <w:r w:rsidR="00B70C83" w:rsidRPr="00935EEB">
        <w:rPr>
          <w:rFonts w:asciiTheme="minorHAnsi" w:hAnsiTheme="minorHAnsi" w:cstheme="minorHAnsi"/>
        </w:rPr>
        <w:t xml:space="preserve"> REP, replicase; </w:t>
      </w:r>
      <w:r w:rsidR="00935EEB">
        <w:rPr>
          <w:rFonts w:asciiTheme="minorHAnsi" w:hAnsiTheme="minorHAnsi" w:cstheme="minorHAnsi"/>
        </w:rPr>
        <w:t xml:space="preserve">ORF2, unknown function; </w:t>
      </w:r>
      <w:r w:rsidR="00B70C83" w:rsidRPr="00935EEB">
        <w:rPr>
          <w:rFonts w:asciiTheme="minorHAnsi" w:hAnsiTheme="minorHAnsi" w:cstheme="minorHAnsi"/>
        </w:rPr>
        <w:t>MP, movement protein; CP, coat protein; NABP, nucleic acid binding protein.</w:t>
      </w:r>
    </w:p>
    <w:p w14:paraId="7A322F8A" w14:textId="24D72694" w:rsidR="00F21EED" w:rsidRDefault="00F21EED" w:rsidP="00FC36FB">
      <w:pPr>
        <w:pStyle w:val="BodyTextIndent"/>
        <w:spacing w:after="120"/>
        <w:ind w:left="0" w:firstLine="0"/>
        <w:rPr>
          <w:rFonts w:ascii="Arial" w:hAnsi="Arial" w:cs="Arial"/>
          <w:color w:val="0000FF"/>
          <w:sz w:val="20"/>
        </w:rPr>
      </w:pPr>
    </w:p>
    <w:p w14:paraId="5C94D244" w14:textId="77777777" w:rsidR="00500ACA" w:rsidRDefault="00500ACA" w:rsidP="00FC36FB">
      <w:pPr>
        <w:pStyle w:val="BodyTextIndent"/>
        <w:spacing w:after="120"/>
        <w:ind w:left="0" w:firstLine="0"/>
        <w:rPr>
          <w:rFonts w:ascii="Arial" w:hAnsi="Arial" w:cs="Arial"/>
          <w:color w:val="0000FF"/>
          <w:sz w:val="20"/>
        </w:rPr>
      </w:pPr>
    </w:p>
    <w:p w14:paraId="411972B0" w14:textId="77777777" w:rsidR="00500ACA" w:rsidRDefault="00500ACA" w:rsidP="00FC36FB">
      <w:pPr>
        <w:pStyle w:val="BodyTextIndent"/>
        <w:spacing w:after="120"/>
        <w:ind w:left="0" w:firstLine="0"/>
        <w:rPr>
          <w:rFonts w:ascii="Arial" w:hAnsi="Arial" w:cs="Arial"/>
          <w:color w:val="0000FF"/>
          <w:sz w:val="20"/>
        </w:rPr>
      </w:pPr>
    </w:p>
    <w:p w14:paraId="0685C382" w14:textId="77777777" w:rsidR="006C4A0C" w:rsidRDefault="006C4A0C" w:rsidP="00AC0E72">
      <w:pPr>
        <w:rPr>
          <w:lang w:val="en-GB"/>
        </w:rPr>
      </w:pPr>
    </w:p>
    <w:p w14:paraId="54AA0B19" w14:textId="153E3742" w:rsidR="00AC0E72" w:rsidRDefault="00026E4A" w:rsidP="00AC0E72">
      <w:pPr>
        <w:rPr>
          <w:lang w:val="en-GB"/>
        </w:rPr>
      </w:pPr>
      <w:r w:rsidRPr="00026E4A">
        <w:rPr>
          <w:noProof/>
          <w:lang w:val="en-GB" w:eastAsia="en-GB"/>
        </w:rPr>
        <w:drawing>
          <wp:inline distT="0" distB="0" distL="0" distR="0" wp14:anchorId="199D17BC" wp14:editId="75C2CFE6">
            <wp:extent cx="6007735" cy="2755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A93F" w14:textId="77777777" w:rsidR="00500ACA" w:rsidRDefault="00500ACA" w:rsidP="00AC0E72">
      <w:pPr>
        <w:rPr>
          <w:rFonts w:ascii="Arial" w:hAnsi="Arial" w:cs="Arial"/>
        </w:rPr>
      </w:pPr>
    </w:p>
    <w:p w14:paraId="1A7892C1" w14:textId="4ED77A5D" w:rsidR="009320C8" w:rsidRDefault="00B70C83" w:rsidP="00AC0E72">
      <w:pPr>
        <w:rPr>
          <w:rFonts w:ascii="Arial" w:hAnsi="Arial" w:cs="Arial"/>
        </w:rPr>
      </w:pPr>
      <w:r w:rsidRPr="00935EEB">
        <w:rPr>
          <w:rFonts w:ascii="Arial" w:hAnsi="Arial" w:cs="Arial"/>
          <w:b/>
        </w:rPr>
        <w:t>Figure 2.</w:t>
      </w:r>
      <w:r>
        <w:rPr>
          <w:rFonts w:ascii="Arial" w:hAnsi="Arial" w:cs="Arial"/>
        </w:rPr>
        <w:t xml:space="preserve"> </w:t>
      </w:r>
      <w:r w:rsidRPr="006B4052">
        <w:rPr>
          <w:rFonts w:ascii="Arial" w:hAnsi="Arial" w:cs="Arial"/>
        </w:rPr>
        <w:t xml:space="preserve">Phylogenetic inference of grapevine </w:t>
      </w:r>
      <w:r w:rsidRPr="006B4052">
        <w:rPr>
          <w:rFonts w:ascii="Arial" w:hAnsi="Arial" w:cs="Arial"/>
          <w:iCs/>
        </w:rPr>
        <w:t>virus J (GVJ)</w:t>
      </w:r>
      <w:r w:rsidR="00823076">
        <w:rPr>
          <w:rFonts w:ascii="Arial" w:hAnsi="Arial" w:cs="Arial"/>
          <w:iCs/>
        </w:rPr>
        <w:t xml:space="preserve"> isolate KS</w:t>
      </w:r>
      <w:r w:rsidRPr="006B4052">
        <w:rPr>
          <w:rFonts w:ascii="Arial" w:hAnsi="Arial" w:cs="Arial"/>
          <w:iCs/>
        </w:rPr>
        <w:t xml:space="preserve"> </w:t>
      </w:r>
      <w:r w:rsidRPr="006B4052">
        <w:rPr>
          <w:rFonts w:ascii="Arial" w:hAnsi="Arial" w:cs="Arial"/>
        </w:rPr>
        <w:t xml:space="preserve">in relation to members of the genus </w:t>
      </w:r>
      <w:r w:rsidRPr="006B4052">
        <w:rPr>
          <w:rFonts w:ascii="Arial" w:hAnsi="Arial" w:cs="Arial"/>
          <w:i/>
        </w:rPr>
        <w:t>Vitivirus</w:t>
      </w:r>
      <w:r w:rsidRPr="006B4052">
        <w:rPr>
          <w:rFonts w:ascii="Arial" w:hAnsi="Arial" w:cs="Arial"/>
        </w:rPr>
        <w:t>.</w:t>
      </w:r>
      <w:r w:rsidR="00D64F0D">
        <w:rPr>
          <w:rFonts w:ascii="Arial" w:hAnsi="Arial" w:cs="Arial"/>
        </w:rPr>
        <w:t xml:space="preserve"> </w:t>
      </w:r>
      <w:r w:rsidR="00D64F0D" w:rsidRPr="00D64F0D">
        <w:rPr>
          <w:rFonts w:ascii="Arial" w:hAnsi="Arial" w:cs="Arial"/>
        </w:rPr>
        <w:t>Actinidia virus A (AcVA, JN427014); actinidia virus B (AcVB, NC_016404); agave tequilana leaf virus (ATLV, NC_034833); arracacha virus V (AVV, NC_034264); grapevine Pinot gris virus (GPGV, NC_015782); grapevine virus A (GVA, NC_003604); grapevine virus B (GVB, NC_003602); grapevine virus D (GVD, KX828708, Y15892); grapevine virus E (GVE, NC_011106); grapevine virus F (GVF, NC_018458); grapevine virus G (GVG, MF405923); grapevine virus H (GVH, MF521889); grapevine virus I (GVI, MF927925); grapevine virus K (GVK, NC_035202); heracleum latent virus (HLV, X79270) and mint virus 2 (MV-2, AY913795).</w:t>
      </w:r>
      <w:r w:rsidR="00D64F0D">
        <w:rPr>
          <w:rFonts w:ascii="Arial" w:hAnsi="Arial" w:cs="Arial"/>
        </w:rPr>
        <w:t xml:space="preserve"> </w:t>
      </w:r>
      <w:r w:rsidR="00D64F0D" w:rsidRPr="006B4052">
        <w:rPr>
          <w:rFonts w:ascii="Arial" w:hAnsi="Arial" w:cs="Arial"/>
          <w:bCs/>
        </w:rPr>
        <w:t xml:space="preserve">Neighbor-Joining </w:t>
      </w:r>
      <w:r w:rsidR="00D64F0D" w:rsidRPr="006B4052">
        <w:rPr>
          <w:rFonts w:ascii="Arial" w:hAnsi="Arial" w:cs="Arial"/>
        </w:rPr>
        <w:t>tree based on the amino acid sequences of the replicase (a) and coat protein (b) using the Pois</w:t>
      </w:r>
      <w:r w:rsidR="00935EEB">
        <w:rPr>
          <w:rFonts w:ascii="Arial" w:hAnsi="Arial" w:cs="Arial"/>
        </w:rPr>
        <w:t>s</w:t>
      </w:r>
      <w:r w:rsidR="00D64F0D" w:rsidRPr="006B4052">
        <w:rPr>
          <w:rFonts w:ascii="Arial" w:hAnsi="Arial" w:cs="Arial"/>
        </w:rPr>
        <w:t>on model of substitution</w:t>
      </w:r>
      <w:r w:rsidR="00823076">
        <w:rPr>
          <w:rFonts w:ascii="Arial" w:hAnsi="Arial" w:cs="Arial"/>
        </w:rPr>
        <w:t xml:space="preserve"> and 1,000 replicates</w:t>
      </w:r>
      <w:r w:rsidR="00D64F0D" w:rsidRPr="006B4052">
        <w:rPr>
          <w:rFonts w:ascii="Arial" w:hAnsi="Arial" w:cs="Arial"/>
        </w:rPr>
        <w:t>. Horizontal branch length is proportional to genetic distance; the scale bars represent changes per site. Bootstrap values less than 50% are not shown.</w:t>
      </w:r>
      <w:r w:rsidR="00D64F0D">
        <w:rPr>
          <w:rFonts w:ascii="Arial" w:hAnsi="Arial" w:cs="Arial"/>
        </w:rPr>
        <w:t xml:space="preserve"> Position of GVJ is indicated with a red box.</w:t>
      </w:r>
    </w:p>
    <w:p w14:paraId="1C32866C" w14:textId="77777777" w:rsidR="00500ACA" w:rsidRDefault="00500ACA" w:rsidP="00AC0E72"/>
    <w:p w14:paraId="3B7E0EBD" w14:textId="77777777" w:rsidR="00935EEB" w:rsidRDefault="00935EEB" w:rsidP="00AC0E72"/>
    <w:p w14:paraId="6E08310A" w14:textId="77777777" w:rsidR="00935EEB" w:rsidRPr="00D64F0D" w:rsidRDefault="00935EEB" w:rsidP="00AC0E72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0C0E3DEA" w14:textId="77777777" w:rsidTr="00A01958">
        <w:trPr>
          <w:tblHeader/>
        </w:trPr>
        <w:tc>
          <w:tcPr>
            <w:tcW w:w="9228" w:type="dxa"/>
          </w:tcPr>
          <w:p w14:paraId="752AF537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2EAC2034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E219" w14:textId="77777777" w:rsidR="00AA601F" w:rsidRDefault="00655F56" w:rsidP="00655F56">
            <w:pPr>
              <w:pStyle w:val="BodyTextIndent"/>
              <w:numPr>
                <w:ilvl w:val="0"/>
                <w:numId w:val="26"/>
              </w:numPr>
              <w:rPr>
                <w:rFonts w:ascii="Arial" w:hAnsi="Arial" w:cs="Arial"/>
                <w:color w:val="000000"/>
              </w:rPr>
            </w:pPr>
            <w:r w:rsidRPr="00655F56">
              <w:rPr>
                <w:rFonts w:ascii="Arial" w:hAnsi="Arial" w:cs="Arial"/>
                <w:color w:val="000000"/>
              </w:rPr>
              <w:t>King AM, Lefkowitz E, Adams MJ, Carstens EB (2011) Virus taxonomy: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55F56">
              <w:rPr>
                <w:rFonts w:ascii="Arial" w:hAnsi="Arial" w:cs="Arial"/>
                <w:color w:val="000000"/>
              </w:rPr>
              <w:t>ninth report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55F56">
              <w:rPr>
                <w:rFonts w:ascii="Arial" w:hAnsi="Arial" w:cs="Arial"/>
                <w:color w:val="000000"/>
              </w:rPr>
              <w:t>of the international committee on taxonomy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55F56">
              <w:rPr>
                <w:rFonts w:ascii="Arial" w:hAnsi="Arial" w:cs="Arial"/>
                <w:color w:val="000000"/>
              </w:rPr>
              <w:t>of viruses. Elsevier, Amsterdam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E139361" w14:textId="77777777" w:rsidR="006B4052" w:rsidRPr="00655F56" w:rsidRDefault="006B4052" w:rsidP="00655F56">
            <w:pPr>
              <w:pStyle w:val="BodyTextIndent"/>
              <w:numPr>
                <w:ilvl w:val="0"/>
                <w:numId w:val="26"/>
              </w:numPr>
              <w:rPr>
                <w:rFonts w:ascii="Arial" w:hAnsi="Arial" w:cs="Arial"/>
                <w:color w:val="000000"/>
              </w:rPr>
            </w:pPr>
            <w:r w:rsidRPr="006B4052">
              <w:rPr>
                <w:rFonts w:ascii="Arial" w:hAnsi="Arial" w:cs="Arial"/>
                <w:color w:val="000000"/>
              </w:rPr>
              <w:t>Diaz-Lara A, Golino D, Al Rwahnih M. Genomic characterization of grapevine virus J, a novel virus identified in grapevine. Archives of virology. 2018 Mar 7:1-3.</w:t>
            </w:r>
          </w:p>
          <w:p w14:paraId="2009AFDB" w14:textId="77777777" w:rsidR="00AA601F" w:rsidRPr="00C61931" w:rsidRDefault="00AA601F" w:rsidP="006B4052">
            <w:pPr>
              <w:pStyle w:val="BodyTextIndent"/>
              <w:rPr>
                <w:rFonts w:ascii="Times New Roman" w:hAnsi="Times New Roman"/>
                <w:color w:val="000000"/>
              </w:rPr>
            </w:pPr>
          </w:p>
        </w:tc>
      </w:tr>
    </w:tbl>
    <w:p w14:paraId="1C5C34D9" w14:textId="77777777" w:rsidR="008E736E" w:rsidRDefault="008E736E" w:rsidP="00AC0E72">
      <w:pPr>
        <w:rPr>
          <w:lang w:val="en-GB"/>
        </w:rPr>
      </w:pPr>
    </w:p>
    <w:p w14:paraId="18642706" w14:textId="77777777" w:rsidR="00CE0DE4" w:rsidRPr="00991A82" w:rsidRDefault="007F03D8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58DC3" wp14:editId="4E3C520C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84B8E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" strokecolor="navy" strokeweight="2pt"/>
            </w:pict>
          </mc:Fallback>
        </mc:AlternateContent>
      </w:r>
    </w:p>
    <w:sectPr w:rsidR="00CE0DE4" w:rsidRPr="00991A82" w:rsidSect="00C7540C">
      <w:headerReference w:type="default" r:id="rId11"/>
      <w:footerReference w:type="default" r:id="rId12"/>
      <w:type w:val="continuous"/>
      <w:pgSz w:w="11909" w:h="16834" w:code="9"/>
      <w:pgMar w:top="1440" w:right="1440" w:bottom="1296" w:left="1008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5A183" w14:textId="77777777" w:rsidR="003703E9" w:rsidRDefault="003703E9" w:rsidP="00FC36FB">
      <w:pPr>
        <w:pStyle w:val="Header"/>
      </w:pPr>
      <w:r>
        <w:separator/>
      </w:r>
    </w:p>
  </w:endnote>
  <w:endnote w:type="continuationSeparator" w:id="0">
    <w:p w14:paraId="010B9643" w14:textId="77777777" w:rsidR="003703E9" w:rsidRDefault="003703E9" w:rsidP="00FC36F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BD90F" w14:textId="5DBD2416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2340B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2340B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05F90" w14:textId="77777777" w:rsidR="003703E9" w:rsidRDefault="003703E9" w:rsidP="00FC36FB">
      <w:pPr>
        <w:pStyle w:val="Header"/>
      </w:pPr>
      <w:r>
        <w:separator/>
      </w:r>
    </w:p>
  </w:footnote>
  <w:footnote w:type="continuationSeparator" w:id="0">
    <w:p w14:paraId="08A5E5FA" w14:textId="77777777" w:rsidR="003703E9" w:rsidRDefault="003703E9" w:rsidP="00FC36F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CFD5B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862"/>
    <w:multiLevelType w:val="hybridMultilevel"/>
    <w:tmpl w:val="5766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41DFF"/>
    <w:multiLevelType w:val="multilevel"/>
    <w:tmpl w:val="D434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7"/>
  </w:num>
  <w:num w:numId="5">
    <w:abstractNumId w:val="21"/>
  </w:num>
  <w:num w:numId="6">
    <w:abstractNumId w:val="9"/>
  </w:num>
  <w:num w:numId="7">
    <w:abstractNumId w:val="14"/>
  </w:num>
  <w:num w:numId="8">
    <w:abstractNumId w:val="16"/>
  </w:num>
  <w:num w:numId="9">
    <w:abstractNumId w:val="1"/>
  </w:num>
  <w:num w:numId="10">
    <w:abstractNumId w:val="12"/>
  </w:num>
  <w:num w:numId="11">
    <w:abstractNumId w:val="18"/>
  </w:num>
  <w:num w:numId="12">
    <w:abstractNumId w:val="22"/>
  </w:num>
  <w:num w:numId="13">
    <w:abstractNumId w:val="19"/>
  </w:num>
  <w:num w:numId="14">
    <w:abstractNumId w:val="23"/>
  </w:num>
  <w:num w:numId="15">
    <w:abstractNumId w:val="24"/>
  </w:num>
  <w:num w:numId="16">
    <w:abstractNumId w:val="5"/>
  </w:num>
  <w:num w:numId="17">
    <w:abstractNumId w:val="17"/>
  </w:num>
  <w:num w:numId="18">
    <w:abstractNumId w:val="13"/>
  </w:num>
  <w:num w:numId="19">
    <w:abstractNumId w:val="4"/>
  </w:num>
  <w:num w:numId="20">
    <w:abstractNumId w:val="25"/>
  </w:num>
  <w:num w:numId="21">
    <w:abstractNumId w:val="3"/>
  </w:num>
  <w:num w:numId="22">
    <w:abstractNumId w:val="6"/>
  </w:num>
  <w:num w:numId="23">
    <w:abstractNumId w:val="15"/>
  </w:num>
  <w:num w:numId="24">
    <w:abstractNumId w:val="10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85"/>
    <w:rsid w:val="00004F39"/>
    <w:rsid w:val="00016519"/>
    <w:rsid w:val="00024051"/>
    <w:rsid w:val="00026E4A"/>
    <w:rsid w:val="000315E5"/>
    <w:rsid w:val="00034DE5"/>
    <w:rsid w:val="000360CB"/>
    <w:rsid w:val="000420CB"/>
    <w:rsid w:val="0004304B"/>
    <w:rsid w:val="000667D6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2DE7"/>
    <w:rsid w:val="00103841"/>
    <w:rsid w:val="00104A4B"/>
    <w:rsid w:val="0010595F"/>
    <w:rsid w:val="00112C38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4A66"/>
    <w:rsid w:val="00185699"/>
    <w:rsid w:val="001946B2"/>
    <w:rsid w:val="001C5EE1"/>
    <w:rsid w:val="001E59C1"/>
    <w:rsid w:val="001E7FD5"/>
    <w:rsid w:val="001F3E2C"/>
    <w:rsid w:val="001F4031"/>
    <w:rsid w:val="00202BB3"/>
    <w:rsid w:val="00210B49"/>
    <w:rsid w:val="00212269"/>
    <w:rsid w:val="002129A8"/>
    <w:rsid w:val="0022566F"/>
    <w:rsid w:val="002361B7"/>
    <w:rsid w:val="00236673"/>
    <w:rsid w:val="00241680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15EA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03E9"/>
    <w:rsid w:val="00377A06"/>
    <w:rsid w:val="003870DF"/>
    <w:rsid w:val="003A0BE4"/>
    <w:rsid w:val="003A48CF"/>
    <w:rsid w:val="003A4E70"/>
    <w:rsid w:val="003A6C76"/>
    <w:rsid w:val="003B1954"/>
    <w:rsid w:val="003B456A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1771E"/>
    <w:rsid w:val="00422FF0"/>
    <w:rsid w:val="004435EC"/>
    <w:rsid w:val="00444E1E"/>
    <w:rsid w:val="00447321"/>
    <w:rsid w:val="0044774D"/>
    <w:rsid w:val="004710EC"/>
    <w:rsid w:val="0047500D"/>
    <w:rsid w:val="0049196C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0ACA"/>
    <w:rsid w:val="0050228B"/>
    <w:rsid w:val="00503E8B"/>
    <w:rsid w:val="00505D9F"/>
    <w:rsid w:val="0050662A"/>
    <w:rsid w:val="00516D9F"/>
    <w:rsid w:val="005201AD"/>
    <w:rsid w:val="00521073"/>
    <w:rsid w:val="00522E71"/>
    <w:rsid w:val="0052340B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A3686"/>
    <w:rsid w:val="005B600C"/>
    <w:rsid w:val="005B6419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55F56"/>
    <w:rsid w:val="00692BE3"/>
    <w:rsid w:val="0069409C"/>
    <w:rsid w:val="006A1735"/>
    <w:rsid w:val="006B2EE7"/>
    <w:rsid w:val="006B4052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03D8"/>
    <w:rsid w:val="007F5109"/>
    <w:rsid w:val="0080060B"/>
    <w:rsid w:val="00800BFD"/>
    <w:rsid w:val="00801148"/>
    <w:rsid w:val="00802D02"/>
    <w:rsid w:val="008071B6"/>
    <w:rsid w:val="0082307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9B7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5EEB"/>
    <w:rsid w:val="0093622B"/>
    <w:rsid w:val="009551D6"/>
    <w:rsid w:val="00955ADB"/>
    <w:rsid w:val="009564E3"/>
    <w:rsid w:val="00962FFF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907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85F88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63AA"/>
    <w:rsid w:val="00B3014D"/>
    <w:rsid w:val="00B34F6A"/>
    <w:rsid w:val="00B37996"/>
    <w:rsid w:val="00B45888"/>
    <w:rsid w:val="00B5488B"/>
    <w:rsid w:val="00B613A5"/>
    <w:rsid w:val="00B63708"/>
    <w:rsid w:val="00B70C83"/>
    <w:rsid w:val="00B845E3"/>
    <w:rsid w:val="00B84AA0"/>
    <w:rsid w:val="00B85D62"/>
    <w:rsid w:val="00B86BE8"/>
    <w:rsid w:val="00B91D87"/>
    <w:rsid w:val="00B94E8E"/>
    <w:rsid w:val="00BA2661"/>
    <w:rsid w:val="00BA3080"/>
    <w:rsid w:val="00BB7D24"/>
    <w:rsid w:val="00BD4541"/>
    <w:rsid w:val="00BD47D7"/>
    <w:rsid w:val="00BE06F9"/>
    <w:rsid w:val="00BE18E9"/>
    <w:rsid w:val="00BF7AA8"/>
    <w:rsid w:val="00C02EDF"/>
    <w:rsid w:val="00C03BDA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572D3"/>
    <w:rsid w:val="00C64F92"/>
    <w:rsid w:val="00C67A98"/>
    <w:rsid w:val="00C75039"/>
    <w:rsid w:val="00C7540C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64F0D"/>
    <w:rsid w:val="00D70DF3"/>
    <w:rsid w:val="00D87539"/>
    <w:rsid w:val="00DA5352"/>
    <w:rsid w:val="00DA5E5A"/>
    <w:rsid w:val="00DA71AC"/>
    <w:rsid w:val="00DA7AE7"/>
    <w:rsid w:val="00DB3CB3"/>
    <w:rsid w:val="00DB4BB2"/>
    <w:rsid w:val="00DC1803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B623D"/>
    <w:rsid w:val="00EC11F1"/>
    <w:rsid w:val="00EC4F18"/>
    <w:rsid w:val="00EF6615"/>
    <w:rsid w:val="00EF7D67"/>
    <w:rsid w:val="00F00D95"/>
    <w:rsid w:val="00F038BC"/>
    <w:rsid w:val="00F050DB"/>
    <w:rsid w:val="00F071D8"/>
    <w:rsid w:val="00F21EED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36FB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860E0"/>
  <w15:docId w15:val="{EB07ABA1-2884-924F-9532-C30A741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66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87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0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0DF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2A1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6813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2018-06-20T10:47:00Z</dcterms:created>
  <dcterms:modified xsi:type="dcterms:W3CDTF">2018-06-20T10:47:00Z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