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TITLE, AUTHORS, APPROVALS,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66359615" w:rsidR="00A174CC" w:rsidRPr="003F5711" w:rsidRDefault="003F5711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3F5711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2020.006G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0DBBD9F1" w:rsidR="00A174CC" w:rsidRDefault="008815EE" w:rsidP="006F26E4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Short title:</w:t>
            </w:r>
            <w:r w:rsidRPr="005A54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F26E4">
              <w:rPr>
                <w:rFonts w:ascii="Arial" w:hAnsi="Arial" w:cs="Arial"/>
                <w:color w:val="000000" w:themeColor="text1"/>
                <w:sz w:val="20"/>
              </w:rPr>
              <w:t xml:space="preserve">Correct </w:t>
            </w:r>
            <w:r w:rsidR="00F03612">
              <w:rPr>
                <w:rFonts w:ascii="Arial" w:hAnsi="Arial" w:cs="Arial"/>
                <w:color w:val="000000" w:themeColor="text1"/>
                <w:sz w:val="20"/>
              </w:rPr>
              <w:t>mistake</w:t>
            </w:r>
            <w:r w:rsidR="005A2011">
              <w:rPr>
                <w:rFonts w:ascii="Arial" w:hAnsi="Arial" w:cs="Arial"/>
                <w:color w:val="000000" w:themeColor="text1"/>
                <w:sz w:val="20"/>
              </w:rPr>
              <w:t>s</w:t>
            </w:r>
            <w:r w:rsidR="006F26E4">
              <w:rPr>
                <w:rFonts w:ascii="Arial" w:hAnsi="Arial" w:cs="Arial"/>
                <w:color w:val="000000" w:themeColor="text1"/>
                <w:sz w:val="20"/>
              </w:rPr>
              <w:t xml:space="preserve"> inadvertently introduced into </w:t>
            </w:r>
            <w:r w:rsidR="003B64D2">
              <w:rPr>
                <w:rFonts w:ascii="Arial" w:hAnsi="Arial" w:cs="Arial"/>
                <w:color w:val="000000" w:themeColor="text1"/>
                <w:sz w:val="20"/>
              </w:rPr>
              <w:t>the ICVCN in 2020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7E4419A" w14:textId="77777777" w:rsidTr="006F26E4">
        <w:tc>
          <w:tcPr>
            <w:tcW w:w="4368" w:type="dxa"/>
            <w:shd w:val="clear" w:color="auto" w:fill="auto"/>
          </w:tcPr>
          <w:p w14:paraId="5B4DA008" w14:textId="64F76CA3" w:rsidR="00A174CC" w:rsidRDefault="008635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Kuhn</w:t>
            </w:r>
            <w:r w:rsidR="004008BC">
              <w:rPr>
                <w:rFonts w:ascii="Arial" w:hAnsi="Arial" w:cs="Arial"/>
                <w:sz w:val="22"/>
                <w:szCs w:val="22"/>
              </w:rPr>
              <w:t xml:space="preserve"> J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4704" w:type="dxa"/>
            <w:shd w:val="clear" w:color="auto" w:fill="auto"/>
          </w:tcPr>
          <w:p w14:paraId="4C0145EC" w14:textId="089CAEA6" w:rsidR="00A174CC" w:rsidRDefault="00F5567D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86358A">
                <w:rPr>
                  <w:rStyle w:val="Hyperlink"/>
                  <w:rFonts w:ascii="Arial" w:eastAsia="Times" w:hAnsi="Arial" w:cs="Arial"/>
                  <w:sz w:val="22"/>
                  <w:szCs w:val="22"/>
                </w:rPr>
                <w:t>kuhnjens@mail.nih.gov</w:t>
              </w:r>
            </w:hyperlink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37757185" w:rsidR="00A174CC" w:rsidRDefault="006F26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Kuhn</w:t>
            </w:r>
            <w:r w:rsidR="004008BC">
              <w:rPr>
                <w:rFonts w:ascii="Arial" w:hAnsi="Arial" w:cs="Arial"/>
                <w:sz w:val="22"/>
                <w:szCs w:val="22"/>
              </w:rPr>
              <w:t xml:space="preserve"> JH</w:t>
            </w: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208F33A9" w14:textId="5AE5962A" w:rsidR="00A174CC" w:rsidRDefault="003B64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7417E8C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073E55EA" w14:textId="20137DB1" w:rsidR="00A174CC" w:rsidRDefault="003B64D2" w:rsidP="006F26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640E9C93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Date first submitted to </w:t>
            </w:r>
            <w:r w:rsidR="00D12E7F">
              <w:rPr>
                <w:rFonts w:ascii="Arial" w:hAnsi="Arial" w:cs="Arial"/>
                <w:sz w:val="22"/>
                <w:szCs w:val="22"/>
              </w:rPr>
              <w:t>the EC</w:t>
            </w:r>
          </w:p>
        </w:tc>
        <w:tc>
          <w:tcPr>
            <w:tcW w:w="4252" w:type="dxa"/>
            <w:shd w:val="clear" w:color="auto" w:fill="auto"/>
          </w:tcPr>
          <w:p w14:paraId="30B8652F" w14:textId="1FE0D998" w:rsidR="00A174CC" w:rsidRDefault="003B64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 13</w:t>
            </w:r>
            <w:r w:rsidR="006F26E4">
              <w:rPr>
                <w:rFonts w:ascii="Arial" w:hAnsi="Arial" w:cs="Arial"/>
                <w:sz w:val="22"/>
                <w:szCs w:val="22"/>
              </w:rPr>
              <w:t>, 2021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1F685FD9" w:rsidR="00A174CC" w:rsidRDefault="003B64D2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2AB201D8" w14:textId="0B41F065" w:rsidR="00A174CC" w:rsidRPr="003B64D2" w:rsidRDefault="006F26E4" w:rsidP="00F0361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 202</w:t>
            </w:r>
            <w:r w:rsidR="003B64D2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3B64D2">
              <w:rPr>
                <w:rFonts w:ascii="Arial" w:hAnsi="Arial" w:cs="Arial"/>
                <w:bCs/>
                <w:sz w:val="22"/>
                <w:szCs w:val="22"/>
              </w:rPr>
              <w:t>TaxoProp</w:t>
            </w:r>
            <w:proofErr w:type="spellEnd"/>
            <w:r w:rsidR="003B64D2">
              <w:rPr>
                <w:rFonts w:ascii="Arial" w:hAnsi="Arial" w:cs="Arial"/>
                <w:bCs/>
                <w:sz w:val="22"/>
                <w:szCs w:val="22"/>
              </w:rPr>
              <w:t xml:space="preserve"> 2020.005G was ratified by the ICTV, resulting in an overhaul of the ICTV’s </w:t>
            </w:r>
            <w:r w:rsidR="003B64D2" w:rsidRPr="003B64D2">
              <w:rPr>
                <w:rFonts w:ascii="Arial" w:hAnsi="Arial" w:cs="Arial"/>
                <w:bCs/>
                <w:sz w:val="22"/>
                <w:szCs w:val="22"/>
              </w:rPr>
              <w:t>International Code of Virus Classification and Nomenclature (ICVCN; “the Code”)</w:t>
            </w:r>
            <w:r w:rsidR="003B64D2">
              <w:rPr>
                <w:rFonts w:ascii="Arial" w:hAnsi="Arial" w:cs="Arial"/>
                <w:bCs/>
                <w:sz w:val="22"/>
                <w:szCs w:val="22"/>
              </w:rPr>
              <w:t xml:space="preserve">. Due to </w:t>
            </w:r>
            <w:r w:rsidR="00613FAD">
              <w:rPr>
                <w:rFonts w:ascii="Arial" w:hAnsi="Arial" w:cs="Arial"/>
                <w:bCs/>
                <w:sz w:val="22"/>
                <w:szCs w:val="22"/>
              </w:rPr>
              <w:t xml:space="preserve">inadvertent </w:t>
            </w:r>
            <w:r w:rsidR="00606A63">
              <w:rPr>
                <w:rFonts w:ascii="Arial" w:hAnsi="Arial" w:cs="Arial"/>
                <w:bCs/>
                <w:sz w:val="22"/>
                <w:szCs w:val="22"/>
              </w:rPr>
              <w:t>copy</w:t>
            </w:r>
            <w:r w:rsidR="00613FAD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606A63">
              <w:rPr>
                <w:rFonts w:ascii="Arial" w:hAnsi="Arial" w:cs="Arial"/>
                <w:bCs/>
                <w:sz w:val="22"/>
                <w:szCs w:val="22"/>
              </w:rPr>
              <w:t>pasting mistakes</w:t>
            </w:r>
            <w:r w:rsidR="003B64D2">
              <w:rPr>
                <w:rFonts w:ascii="Arial" w:hAnsi="Arial" w:cs="Arial"/>
                <w:bCs/>
                <w:sz w:val="22"/>
                <w:szCs w:val="22"/>
              </w:rPr>
              <w:t>, in Rule</w:t>
            </w:r>
            <w:r w:rsidR="00606A63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3B64D2">
              <w:rPr>
                <w:rFonts w:ascii="Arial" w:hAnsi="Arial" w:cs="Arial"/>
                <w:bCs/>
                <w:sz w:val="22"/>
                <w:szCs w:val="22"/>
              </w:rPr>
              <w:t xml:space="preserve"> 3.27.</w:t>
            </w:r>
            <w:r w:rsidR="00606A63">
              <w:rPr>
                <w:rFonts w:ascii="Arial" w:hAnsi="Arial" w:cs="Arial"/>
                <w:bCs/>
                <w:sz w:val="22"/>
                <w:szCs w:val="22"/>
              </w:rPr>
              <w:t>1–</w:t>
            </w:r>
            <w:r w:rsidR="003B64D2">
              <w:rPr>
                <w:rFonts w:ascii="Arial" w:hAnsi="Arial" w:cs="Arial"/>
                <w:bCs/>
                <w:sz w:val="22"/>
                <w:szCs w:val="22"/>
              </w:rPr>
              <w:t>3 (</w:t>
            </w:r>
            <w:proofErr w:type="spellStart"/>
            <w:r w:rsidR="003B64D2">
              <w:rPr>
                <w:rFonts w:ascii="Arial" w:hAnsi="Arial" w:cs="Arial"/>
                <w:bCs/>
                <w:sz w:val="22"/>
                <w:szCs w:val="22"/>
              </w:rPr>
              <w:t>TaxoProp</w:t>
            </w:r>
            <w:proofErr w:type="spellEnd"/>
            <w:r w:rsidR="003B64D2">
              <w:rPr>
                <w:rFonts w:ascii="Arial" w:hAnsi="Arial" w:cs="Arial"/>
                <w:bCs/>
                <w:sz w:val="22"/>
                <w:szCs w:val="22"/>
              </w:rPr>
              <w:t xml:space="preserve"> numbering), </w:t>
            </w:r>
            <w:r w:rsidR="00606A63">
              <w:rPr>
                <w:rFonts w:ascii="Arial" w:hAnsi="Arial" w:cs="Arial"/>
                <w:bCs/>
                <w:sz w:val="22"/>
                <w:szCs w:val="22"/>
              </w:rPr>
              <w:t xml:space="preserve">some of </w:t>
            </w:r>
            <w:r w:rsidR="003B64D2">
              <w:rPr>
                <w:rFonts w:ascii="Arial" w:hAnsi="Arial" w:cs="Arial"/>
                <w:bCs/>
                <w:sz w:val="22"/>
                <w:szCs w:val="22"/>
              </w:rPr>
              <w:t>the formal ending</w:t>
            </w:r>
            <w:r w:rsidR="00606A63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3B64D2">
              <w:rPr>
                <w:rFonts w:ascii="Arial" w:hAnsi="Arial" w:cs="Arial"/>
                <w:bCs/>
                <w:sz w:val="22"/>
                <w:szCs w:val="22"/>
              </w:rPr>
              <w:t xml:space="preserve"> for </w:t>
            </w:r>
            <w:r w:rsidR="00606A63">
              <w:rPr>
                <w:rFonts w:ascii="Arial" w:hAnsi="Arial" w:cs="Arial"/>
                <w:bCs/>
                <w:sz w:val="22"/>
                <w:szCs w:val="22"/>
              </w:rPr>
              <w:t xml:space="preserve">satellite, viroid, and </w:t>
            </w:r>
            <w:proofErr w:type="spellStart"/>
            <w:r w:rsidR="003B64D2">
              <w:rPr>
                <w:rFonts w:ascii="Arial" w:hAnsi="Arial" w:cs="Arial"/>
                <w:bCs/>
                <w:sz w:val="22"/>
                <w:szCs w:val="22"/>
              </w:rPr>
              <w:t>viriform</w:t>
            </w:r>
            <w:proofErr w:type="spellEnd"/>
            <w:r w:rsidR="003B64D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06A63">
              <w:rPr>
                <w:rFonts w:ascii="Arial" w:hAnsi="Arial" w:cs="Arial"/>
                <w:bCs/>
                <w:sz w:val="22"/>
                <w:szCs w:val="22"/>
              </w:rPr>
              <w:t>taxon names</w:t>
            </w:r>
            <w:r w:rsidR="003B64D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06A63">
              <w:rPr>
                <w:rFonts w:ascii="Arial" w:hAnsi="Arial" w:cs="Arial"/>
                <w:bCs/>
                <w:sz w:val="22"/>
                <w:szCs w:val="22"/>
              </w:rPr>
              <w:t>were stated incorrectly</w:t>
            </w:r>
            <w:r w:rsidR="003B64D2">
              <w:rPr>
                <w:rFonts w:ascii="Arial" w:hAnsi="Arial" w:cs="Arial"/>
                <w:bCs/>
                <w:sz w:val="22"/>
                <w:szCs w:val="22"/>
              </w:rPr>
              <w:t xml:space="preserve">. This proposal serves to correct this mistakes </w:t>
            </w:r>
            <w:r w:rsidR="00F03612">
              <w:rPr>
                <w:rFonts w:ascii="Arial" w:hAnsi="Arial" w:cs="Arial"/>
                <w:bCs/>
                <w:sz w:val="22"/>
                <w:szCs w:val="22"/>
              </w:rPr>
              <w:t>using the novel expedited correction process (</w:t>
            </w:r>
            <w:proofErr w:type="spellStart"/>
            <w:r w:rsidR="00F03612">
              <w:rPr>
                <w:rFonts w:ascii="Arial" w:hAnsi="Arial" w:cs="Arial"/>
                <w:bCs/>
                <w:sz w:val="22"/>
                <w:szCs w:val="22"/>
              </w:rPr>
              <w:t>TaxoProp</w:t>
            </w:r>
            <w:proofErr w:type="spellEnd"/>
            <w:r w:rsidR="00F0361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gramStart"/>
            <w:r w:rsidR="00F03612" w:rsidRPr="00F03612">
              <w:rPr>
                <w:rFonts w:ascii="Arial" w:hAnsi="Arial" w:cs="Arial"/>
                <w:bCs/>
                <w:sz w:val="22"/>
                <w:szCs w:val="22"/>
              </w:rPr>
              <w:t>2020.002G.R</w:t>
            </w:r>
            <w:proofErr w:type="gramEnd"/>
            <w:r w:rsidR="00F03612" w:rsidRPr="00F03612">
              <w:rPr>
                <w:rFonts w:ascii="Arial" w:hAnsi="Arial" w:cs="Arial"/>
                <w:bCs/>
                <w:sz w:val="22"/>
                <w:szCs w:val="22"/>
              </w:rPr>
              <w:t>.Expedited_error_correction</w:t>
            </w:r>
            <w:r w:rsidR="00F03612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3B64D2">
              <w:rPr>
                <w:rFonts w:ascii="Arial" w:hAnsi="Arial" w:cs="Arial"/>
                <w:bCs/>
                <w:sz w:val="22"/>
                <w:szCs w:val="22"/>
              </w:rPr>
              <w:t>, which was also</w:t>
            </w:r>
            <w:r w:rsidR="00F03612">
              <w:rPr>
                <w:rFonts w:ascii="Arial" w:hAnsi="Arial" w:cs="Arial"/>
                <w:bCs/>
                <w:sz w:val="22"/>
                <w:szCs w:val="22"/>
              </w:rPr>
              <w:t xml:space="preserve"> ratified in 2021.</w:t>
            </w: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44BD3256" w14:textId="5AD141E9" w:rsidR="00606A63" w:rsidRDefault="00606A63" w:rsidP="003B64D2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In 2021,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TaxoProp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2020.005G was ratified by the ICTV, resulting in an overhaul of the ICTV’s </w:t>
                  </w:r>
                  <w:r w:rsidRPr="003B64D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International Code of Virus Classification and Nomenclature (ICVCN; “the Code”)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. </w:t>
                  </w:r>
                  <w:r w:rsidR="00613FA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Due to inadvertent copy/pasting mistakes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, in Rules 3.27.1–3 (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TaxoProp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numbering), some of the formal endings for satellite, viroid, and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viriform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taxon names were stated incorrectly. This proposal serves to correct this mistakes using the novel expedited correction process (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TaxoProp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F0361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2020.002G.R</w:t>
                  </w:r>
                  <w:proofErr w:type="gramEnd"/>
                  <w:r w:rsidRPr="00F0361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.Expedited_error_correction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), which was also ratified in 2021. </w:t>
                  </w:r>
                </w:p>
                <w:p w14:paraId="57CEBFF2" w14:textId="2F90BF47" w:rsidR="00BD001E" w:rsidRDefault="00606A63" w:rsidP="003B64D2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lastRenderedPageBreak/>
                    <w:t xml:space="preserve">The </w:t>
                  </w:r>
                  <w:r w:rsidR="00963E6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corrected texts for the three rules, with corrections indicated in green, are shown below (</w:t>
                  </w:r>
                  <w:r w:rsidR="00D9125B">
                    <w:rPr>
                      <w:rFonts w:ascii="Arial" w:hAnsi="Arial" w:cs="Arial"/>
                      <w:bCs/>
                      <w:sz w:val="22"/>
                      <w:szCs w:val="22"/>
                    </w:rPr>
                    <w:t>taxon name ending</w:t>
                  </w:r>
                  <w:r w:rsidR="004008B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s</w:t>
                  </w:r>
                  <w:r w:rsidR="00D9125B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were intended to be and ought to be </w:t>
                  </w:r>
                  <w:r w:rsidR="00D9125B">
                    <w:rPr>
                      <w:rFonts w:ascii="Arial" w:hAnsi="Arial" w:cs="Arial"/>
                      <w:bCs/>
                      <w:sz w:val="22"/>
                      <w:szCs w:val="22"/>
                    </w:rPr>
                    <w:t>identical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across mobile genetic element classes</w:t>
                  </w:r>
                  <w:r w:rsidR="00613FAD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as much as possible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):</w:t>
                  </w:r>
                </w:p>
                <w:p w14:paraId="49AE2C98" w14:textId="77777777" w:rsidR="00606A63" w:rsidRPr="00562084" w:rsidRDefault="00606A63" w:rsidP="00606A63">
                  <w:pPr>
                    <w:spacing w:before="347" w:after="347" w:line="370" w:lineRule="atLeast"/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</w:pPr>
                  <w:r w:rsidRPr="00562084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>3.27.1</w:t>
                  </w:r>
                </w:p>
                <w:p w14:paraId="39F19AE3" w14:textId="153303C5" w:rsidR="00606A63" w:rsidRPr="00613FAD" w:rsidRDefault="00606A63" w:rsidP="00606A63">
                  <w:pPr>
                    <w:spacing w:before="347" w:after="347" w:line="370" w:lineRule="atLeast"/>
                  </w:pPr>
                  <w:bookmarkStart w:id="0" w:name="move48738753111"/>
                  <w:bookmarkEnd w:id="0"/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>The formal endings for taxon names</w:t>
                  </w:r>
                  <w:r w:rsidRPr="00613FAD">
                    <w:rPr>
                      <w:rFonts w:ascii="Helvetica" w:hAnsi="Helvetica"/>
                      <w:color w:val="11171A"/>
                      <w:sz w:val="21"/>
                    </w:rPr>
                    <w:t xml:space="preserve"> of satellite nucleic acids are the suffixes "-</w:t>
                  </w:r>
                  <w:r w:rsidRPr="00613FAD">
                    <w:rPr>
                      <w:rFonts w:ascii="Helvetica" w:hAnsi="Helvetica"/>
                      <w:i/>
                      <w:color w:val="11171A"/>
                      <w:sz w:val="21"/>
                    </w:rPr>
                    <w:t>satellitia</w:t>
                  </w:r>
                  <w:r w:rsidRPr="00613FAD">
                    <w:rPr>
                      <w:rFonts w:ascii="Helvetica" w:hAnsi="Helvetica"/>
                      <w:color w:val="11171A"/>
                      <w:sz w:val="21"/>
                    </w:rPr>
                    <w:t>" for realms,</w:t>
                  </w:r>
                  <w:r w:rsidRPr="00613FAD">
                    <w:rPr>
                      <w:rFonts w:ascii="Helvetica" w:hAnsi="Helvetica" w:hint="eastAsia"/>
                      <w:color w:val="11171A"/>
                      <w:sz w:val="21"/>
                    </w:rPr>
                    <w:t> </w:t>
                  </w:r>
                  <w:r w:rsidRPr="00613FAD">
                    <w:rPr>
                      <w:rFonts w:ascii="Helvetica" w:hAnsi="Helvetica"/>
                      <w:color w:val="11171A"/>
                      <w:sz w:val="21"/>
                    </w:rPr>
                    <w:t>"-</w:t>
                  </w:r>
                  <w:proofErr w:type="spellStart"/>
                  <w:r w:rsidRPr="00613FAD">
                    <w:rPr>
                      <w:rFonts w:ascii="Helvetica" w:hAnsi="Helvetica"/>
                      <w:i/>
                      <w:color w:val="11171A"/>
                      <w:sz w:val="21"/>
                    </w:rPr>
                    <w:t>satellita</w:t>
                  </w:r>
                  <w:proofErr w:type="spellEnd"/>
                  <w:r w:rsidRPr="00613FAD">
                    <w:rPr>
                      <w:rFonts w:ascii="Helvetica" w:hAnsi="Helvetica"/>
                      <w:color w:val="11171A"/>
                      <w:sz w:val="21"/>
                    </w:rPr>
                    <w:t xml:space="preserve">" for </w:t>
                  </w:r>
                  <w:proofErr w:type="spellStart"/>
                  <w:r w:rsidRPr="00613FAD">
                    <w:rPr>
                      <w:rFonts w:ascii="Helvetica" w:hAnsi="Helvetica"/>
                      <w:color w:val="11171A"/>
                      <w:sz w:val="21"/>
                    </w:rPr>
                    <w:t>subrealms</w:t>
                  </w:r>
                  <w:proofErr w:type="spellEnd"/>
                  <w:r w:rsidRPr="00613FAD">
                    <w:rPr>
                      <w:rFonts w:ascii="Helvetica" w:hAnsi="Helvetica"/>
                      <w:color w:val="11171A"/>
                      <w:sz w:val="21"/>
                    </w:rPr>
                    <w:t>, "-</w:t>
                  </w:r>
                  <w:proofErr w:type="spellStart"/>
                  <w:r w:rsidRPr="00613FAD">
                    <w:rPr>
                      <w:rFonts w:ascii="Helvetica" w:hAnsi="Helvetica"/>
                      <w:i/>
                      <w:color w:val="70AD47" w:themeColor="accent6"/>
                      <w:sz w:val="21"/>
                    </w:rPr>
                    <w:t>satellitae</w:t>
                  </w:r>
                  <w:proofErr w:type="spellEnd"/>
                  <w:r w:rsidRPr="00613FAD">
                    <w:rPr>
                      <w:rFonts w:ascii="Helvetica" w:hAnsi="Helvetica"/>
                      <w:color w:val="11171A"/>
                      <w:sz w:val="21"/>
                    </w:rPr>
                    <w:t>" for kingdoms, "-</w:t>
                  </w:r>
                  <w:proofErr w:type="spellStart"/>
                  <w:r w:rsidRPr="00613FAD">
                    <w:rPr>
                      <w:rFonts w:ascii="Helvetica" w:hAnsi="Helvetica"/>
                      <w:i/>
                      <w:color w:val="11171A"/>
                      <w:sz w:val="21"/>
                    </w:rPr>
                    <w:t>satellitites</w:t>
                  </w:r>
                  <w:proofErr w:type="spellEnd"/>
                  <w:r w:rsidRPr="00613FAD">
                    <w:rPr>
                      <w:rFonts w:ascii="Helvetica" w:hAnsi="Helvetica"/>
                      <w:color w:val="11171A"/>
                      <w:sz w:val="21"/>
                    </w:rPr>
                    <w:t>" for subkingdoms, "-</w:t>
                  </w:r>
                  <w:proofErr w:type="spellStart"/>
                  <w:r w:rsidRPr="00613FAD">
                    <w:rPr>
                      <w:rFonts w:ascii="Helvetica" w:hAnsi="Helvetica"/>
                      <w:i/>
                      <w:color w:val="11171A"/>
                      <w:sz w:val="21"/>
                    </w:rPr>
                    <w:t>satelliticota</w:t>
                  </w:r>
                  <w:proofErr w:type="spellEnd"/>
                  <w:r w:rsidRPr="00613FAD">
                    <w:rPr>
                      <w:rFonts w:ascii="Helvetica" w:hAnsi="Helvetica"/>
                      <w:color w:val="11171A"/>
                      <w:sz w:val="21"/>
                    </w:rPr>
                    <w:t>" for phyla, "-</w:t>
                  </w:r>
                  <w:proofErr w:type="spellStart"/>
                  <w:r w:rsidRPr="00613FAD">
                    <w:rPr>
                      <w:rFonts w:ascii="Helvetica" w:hAnsi="Helvetica"/>
                      <w:i/>
                      <w:color w:val="11171A"/>
                      <w:sz w:val="21"/>
                    </w:rPr>
                    <w:t>satelliticotina</w:t>
                  </w:r>
                  <w:proofErr w:type="spellEnd"/>
                  <w:r w:rsidRPr="00613FAD">
                    <w:rPr>
                      <w:rFonts w:ascii="Helvetica" w:hAnsi="Helvetica"/>
                      <w:color w:val="11171A"/>
                      <w:sz w:val="21"/>
                    </w:rPr>
                    <w:t>" for subphyla, "-</w:t>
                  </w:r>
                  <w:proofErr w:type="spellStart"/>
                  <w:r w:rsidRPr="00613FAD">
                    <w:rPr>
                      <w:rFonts w:ascii="Helvetica" w:hAnsi="Helvetica"/>
                      <w:i/>
                      <w:color w:val="11171A"/>
                      <w:sz w:val="21"/>
                    </w:rPr>
                    <w:t>satelliticetes</w:t>
                  </w:r>
                  <w:proofErr w:type="spellEnd"/>
                  <w:r w:rsidRPr="00613FAD">
                    <w:rPr>
                      <w:rFonts w:ascii="Helvetica" w:hAnsi="Helvetica"/>
                      <w:color w:val="11171A"/>
                      <w:sz w:val="21"/>
                    </w:rPr>
                    <w:t>" for classes, "-</w:t>
                  </w:r>
                  <w:proofErr w:type="spellStart"/>
                  <w:r w:rsidRPr="00613FAD">
                    <w:rPr>
                      <w:rFonts w:ascii="Helvetica" w:hAnsi="Helvetica"/>
                      <w:i/>
                      <w:color w:val="70AD47" w:themeColor="accent6"/>
                      <w:sz w:val="21"/>
                    </w:rPr>
                    <w:t>satelliticetida</w:t>
                  </w:r>
                  <w:r w:rsidR="00613FAD" w:rsidRPr="00613FAD">
                    <w:rPr>
                      <w:rFonts w:ascii="Helvetica" w:hAnsi="Helvetica"/>
                      <w:i/>
                      <w:color w:val="70AD47" w:themeColor="accent6"/>
                      <w:sz w:val="21"/>
                    </w:rPr>
                    <w:t>e</w:t>
                  </w:r>
                  <w:proofErr w:type="spellEnd"/>
                  <w:r w:rsidRPr="00613FAD">
                    <w:rPr>
                      <w:rFonts w:ascii="Helvetica" w:hAnsi="Helvetica"/>
                      <w:color w:val="11171A"/>
                      <w:sz w:val="21"/>
                    </w:rPr>
                    <w:t>" for subclasses, "-</w:t>
                  </w:r>
                  <w:proofErr w:type="spellStart"/>
                  <w:r w:rsidRPr="00613FAD">
                    <w:rPr>
                      <w:rFonts w:ascii="Helvetica" w:hAnsi="Helvetica"/>
                      <w:i/>
                      <w:color w:val="11171A"/>
                      <w:sz w:val="21"/>
                    </w:rPr>
                    <w:t>satellitales</w:t>
                  </w:r>
                  <w:proofErr w:type="spellEnd"/>
                  <w:r w:rsidRPr="00613FAD">
                    <w:rPr>
                      <w:rFonts w:ascii="Helvetica" w:hAnsi="Helvetica"/>
                      <w:color w:val="11171A"/>
                      <w:sz w:val="21"/>
                    </w:rPr>
                    <w:t>" for orders, "-</w:t>
                  </w:r>
                  <w:proofErr w:type="spellStart"/>
                  <w:r w:rsidRPr="00613FAD">
                    <w:rPr>
                      <w:rFonts w:ascii="Helvetica" w:hAnsi="Helvetica"/>
                      <w:i/>
                      <w:color w:val="11171A"/>
                      <w:sz w:val="21"/>
                    </w:rPr>
                    <w:t>satellitineae</w:t>
                  </w:r>
                  <w:proofErr w:type="spellEnd"/>
                  <w:r w:rsidRPr="00613FAD">
                    <w:rPr>
                      <w:rFonts w:ascii="Helvetica" w:hAnsi="Helvetica"/>
                      <w:color w:val="11171A"/>
                      <w:sz w:val="21"/>
                    </w:rPr>
                    <w:t xml:space="preserve">" for suborders, </w:t>
                  </w:r>
                  <w:r w:rsidRPr="00613FAD">
                    <w:rPr>
                      <w:rFonts w:ascii="Helvetica" w:hAnsi="Helvetica" w:hint="eastAsia"/>
                      <w:color w:val="11171A"/>
                      <w:sz w:val="21"/>
                    </w:rPr>
                    <w:t> </w:t>
                  </w:r>
                  <w:r w:rsidRPr="00613FAD">
                    <w:rPr>
                      <w:rFonts w:ascii="Helvetica" w:hAnsi="Helvetica"/>
                      <w:color w:val="11171A"/>
                      <w:sz w:val="21"/>
                    </w:rPr>
                    <w:t>"-</w:t>
                  </w:r>
                  <w:proofErr w:type="spellStart"/>
                  <w:r w:rsidRPr="00613FAD">
                    <w:rPr>
                      <w:rFonts w:ascii="Helvetica" w:hAnsi="Helvetica"/>
                      <w:i/>
                      <w:color w:val="11171A"/>
                      <w:sz w:val="21"/>
                    </w:rPr>
                    <w:t>satellitidae</w:t>
                  </w:r>
                  <w:proofErr w:type="spellEnd"/>
                  <w:r w:rsidRPr="00613FAD">
                    <w:rPr>
                      <w:rFonts w:ascii="Helvetica" w:hAnsi="Helvetica"/>
                      <w:color w:val="11171A"/>
                      <w:sz w:val="21"/>
                    </w:rPr>
                    <w:t>" for families, "-</w:t>
                  </w:r>
                  <w:proofErr w:type="spellStart"/>
                  <w:r w:rsidRPr="00613FAD">
                    <w:rPr>
                      <w:rFonts w:ascii="Helvetica" w:hAnsi="Helvetica"/>
                      <w:i/>
                      <w:color w:val="11171A"/>
                      <w:sz w:val="21"/>
                    </w:rPr>
                    <w:t>satellitinae</w:t>
                  </w:r>
                  <w:proofErr w:type="spellEnd"/>
                  <w:r w:rsidRPr="00613FAD">
                    <w:rPr>
                      <w:rFonts w:ascii="Helvetica" w:hAnsi="Helvetica"/>
                      <w:color w:val="11171A"/>
                      <w:sz w:val="21"/>
                    </w:rPr>
                    <w:t>" for subfamilies, and "-</w:t>
                  </w:r>
                  <w:r w:rsidRPr="00613FAD">
                    <w:rPr>
                      <w:rFonts w:ascii="Helvetica" w:hAnsi="Helvetica"/>
                      <w:i/>
                      <w:color w:val="11171A"/>
                      <w:sz w:val="21"/>
                    </w:rPr>
                    <w:t>satellite</w:t>
                  </w:r>
                  <w:r w:rsidRPr="00613FAD">
                    <w:rPr>
                      <w:rFonts w:ascii="Helvetica" w:hAnsi="Helvetica"/>
                      <w:color w:val="11171A"/>
                      <w:sz w:val="21"/>
                    </w:rPr>
                    <w:t xml:space="preserve">" for </w:t>
                  </w:r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 xml:space="preserve">genera and </w:t>
                  </w:r>
                  <w:r w:rsidRPr="00613FAD">
                    <w:rPr>
                      <w:rFonts w:ascii="Helvetica" w:hAnsi="Helvetica"/>
                      <w:color w:val="11171A"/>
                      <w:sz w:val="21"/>
                    </w:rPr>
                    <w:t>subgenera.</w:t>
                  </w:r>
                </w:p>
                <w:p w14:paraId="04CFBDE0" w14:textId="77777777" w:rsidR="00606A63" w:rsidRPr="00613FAD" w:rsidRDefault="00606A63" w:rsidP="00606A63">
                  <w:pPr>
                    <w:shd w:val="clear" w:color="auto" w:fill="FFFFFF"/>
                    <w:spacing w:before="360" w:after="360" w:line="360" w:lineRule="atLeast"/>
                  </w:pPr>
                  <w:r w:rsidRPr="00613FAD">
                    <w:rPr>
                      <w:rFonts w:ascii="Helvetica" w:hAnsi="Helvetica"/>
                      <w:color w:val="11171A"/>
                      <w:sz w:val="21"/>
                    </w:rPr>
                    <w:t>3.</w:t>
                  </w:r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>27.2</w:t>
                  </w:r>
                </w:p>
                <w:p w14:paraId="30B3F1D3" w14:textId="6E07F9A8" w:rsidR="00606A63" w:rsidRPr="00613FAD" w:rsidRDefault="00606A63" w:rsidP="00606A63">
                  <w:pPr>
                    <w:shd w:val="clear" w:color="auto" w:fill="FFFFFF"/>
                    <w:spacing w:before="360" w:after="360" w:line="360" w:lineRule="atLeast"/>
                  </w:pPr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 xml:space="preserve">The formal endings for taxon names of </w:t>
                  </w:r>
                  <w:proofErr w:type="spellStart"/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>viroids</w:t>
                  </w:r>
                  <w:proofErr w:type="spellEnd"/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 xml:space="preserve"> are the suffixes "-</w:t>
                  </w:r>
                  <w:proofErr w:type="spellStart"/>
                  <w:r w:rsidRPr="00613FAD">
                    <w:rPr>
                      <w:rFonts w:ascii="Helvetica" w:hAnsi="Helvetica" w:cs="Helvetica"/>
                      <w:i/>
                      <w:iCs/>
                      <w:color w:val="11171A"/>
                      <w:sz w:val="21"/>
                      <w:szCs w:val="21"/>
                    </w:rPr>
                    <w:t>viroidia</w:t>
                  </w:r>
                  <w:proofErr w:type="spellEnd"/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>" for realms, "-</w:t>
                  </w:r>
                  <w:proofErr w:type="spellStart"/>
                  <w:r w:rsidRPr="00613FAD">
                    <w:rPr>
                      <w:rFonts w:ascii="Helvetica" w:hAnsi="Helvetica" w:cs="Helvetica"/>
                      <w:i/>
                      <w:iCs/>
                      <w:color w:val="11171A"/>
                      <w:sz w:val="21"/>
                      <w:szCs w:val="21"/>
                    </w:rPr>
                    <w:t>viroida</w:t>
                  </w:r>
                  <w:proofErr w:type="spellEnd"/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 xml:space="preserve">" for </w:t>
                  </w:r>
                  <w:proofErr w:type="spellStart"/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>subrealms</w:t>
                  </w:r>
                  <w:proofErr w:type="spellEnd"/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>, "-</w:t>
                  </w:r>
                  <w:proofErr w:type="spellStart"/>
                  <w:r w:rsidRPr="00613FAD">
                    <w:rPr>
                      <w:rFonts w:ascii="Helvetica" w:hAnsi="Helvetica" w:cs="Helvetica"/>
                      <w:i/>
                      <w:iCs/>
                      <w:color w:val="70AD47" w:themeColor="accent6"/>
                      <w:sz w:val="21"/>
                      <w:szCs w:val="21"/>
                    </w:rPr>
                    <w:t>viroidae</w:t>
                  </w:r>
                  <w:proofErr w:type="spellEnd"/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>" for kingdoms, "-</w:t>
                  </w:r>
                  <w:proofErr w:type="spellStart"/>
                  <w:r w:rsidRPr="00613FAD">
                    <w:rPr>
                      <w:rFonts w:ascii="Helvetica" w:hAnsi="Helvetica" w:cs="Helvetica"/>
                      <w:i/>
                      <w:iCs/>
                      <w:color w:val="11171A"/>
                      <w:sz w:val="21"/>
                      <w:szCs w:val="21"/>
                    </w:rPr>
                    <w:t>viroidites</w:t>
                  </w:r>
                  <w:proofErr w:type="spellEnd"/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>" for subkingdoms, "-</w:t>
                  </w:r>
                  <w:proofErr w:type="spellStart"/>
                  <w:r w:rsidRPr="00613FAD">
                    <w:rPr>
                      <w:rFonts w:ascii="Helvetica" w:hAnsi="Helvetica" w:cs="Helvetica"/>
                      <w:i/>
                      <w:iCs/>
                      <w:color w:val="11171A"/>
                      <w:sz w:val="21"/>
                      <w:szCs w:val="21"/>
                    </w:rPr>
                    <w:t>viroidicota</w:t>
                  </w:r>
                  <w:proofErr w:type="spellEnd"/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>" for phyla, "</w:t>
                  </w:r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noBreakHyphen/>
                  </w:r>
                  <w:proofErr w:type="spellStart"/>
                  <w:r w:rsidRPr="00613FAD">
                    <w:rPr>
                      <w:rFonts w:ascii="Helvetica" w:hAnsi="Helvetica" w:cs="Helvetica"/>
                      <w:i/>
                      <w:iCs/>
                      <w:color w:val="11171A"/>
                      <w:sz w:val="21"/>
                      <w:szCs w:val="21"/>
                    </w:rPr>
                    <w:t>viroidicotina</w:t>
                  </w:r>
                  <w:proofErr w:type="spellEnd"/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>" for subphyla, "-</w:t>
                  </w:r>
                  <w:proofErr w:type="spellStart"/>
                  <w:r w:rsidRPr="00613FAD">
                    <w:rPr>
                      <w:rFonts w:ascii="Helvetica" w:hAnsi="Helvetica" w:cs="Helvetica"/>
                      <w:i/>
                      <w:iCs/>
                      <w:color w:val="11171A"/>
                      <w:sz w:val="21"/>
                      <w:szCs w:val="21"/>
                    </w:rPr>
                    <w:t>viroidicetes</w:t>
                  </w:r>
                  <w:proofErr w:type="spellEnd"/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>" for classes, "-</w:t>
                  </w:r>
                  <w:proofErr w:type="spellStart"/>
                  <w:r w:rsidRPr="00613FAD">
                    <w:rPr>
                      <w:rFonts w:ascii="Helvetica" w:hAnsi="Helvetica" w:cs="Helvetica"/>
                      <w:i/>
                      <w:iCs/>
                      <w:color w:val="70AD47" w:themeColor="accent6"/>
                      <w:sz w:val="21"/>
                      <w:szCs w:val="21"/>
                    </w:rPr>
                    <w:t>viroidicetida</w:t>
                  </w:r>
                  <w:r w:rsidR="00613FAD" w:rsidRPr="00613FAD">
                    <w:rPr>
                      <w:rFonts w:ascii="Helvetica" w:hAnsi="Helvetica" w:cs="Helvetica"/>
                      <w:i/>
                      <w:iCs/>
                      <w:color w:val="70AD47" w:themeColor="accent6"/>
                      <w:sz w:val="21"/>
                      <w:szCs w:val="21"/>
                    </w:rPr>
                    <w:t>e</w:t>
                  </w:r>
                  <w:proofErr w:type="spellEnd"/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>" for subclasses, "</w:t>
                  </w:r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noBreakHyphen/>
                  </w:r>
                  <w:proofErr w:type="spellStart"/>
                  <w:r w:rsidRPr="00613FAD">
                    <w:rPr>
                      <w:rFonts w:ascii="Helvetica" w:hAnsi="Helvetica" w:cs="Helvetica"/>
                      <w:i/>
                      <w:iCs/>
                      <w:color w:val="11171A"/>
                      <w:sz w:val="21"/>
                      <w:szCs w:val="21"/>
                    </w:rPr>
                    <w:t>viroidales</w:t>
                  </w:r>
                  <w:proofErr w:type="spellEnd"/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>" for orders, "-</w:t>
                  </w:r>
                  <w:proofErr w:type="spellStart"/>
                  <w:r w:rsidRPr="00613FAD">
                    <w:rPr>
                      <w:rFonts w:ascii="Helvetica" w:hAnsi="Helvetica" w:cs="Helvetica"/>
                      <w:i/>
                      <w:iCs/>
                      <w:color w:val="11171A"/>
                      <w:sz w:val="21"/>
                      <w:szCs w:val="21"/>
                    </w:rPr>
                    <w:t>viroidineae</w:t>
                  </w:r>
                  <w:proofErr w:type="spellEnd"/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>" for suborders, "-</w:t>
                  </w:r>
                  <w:proofErr w:type="spellStart"/>
                  <w:r w:rsidRPr="00D9125B">
                    <w:rPr>
                      <w:rFonts w:ascii="Helvetica" w:hAnsi="Helvetica" w:cs="Helvetica"/>
                      <w:i/>
                      <w:iCs/>
                      <w:color w:val="ED7D31" w:themeColor="accent2"/>
                      <w:sz w:val="21"/>
                      <w:szCs w:val="21"/>
                    </w:rPr>
                    <w:t>viroidae</w:t>
                  </w:r>
                  <w:proofErr w:type="spellEnd"/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>" for families, "-</w:t>
                  </w:r>
                  <w:proofErr w:type="spellStart"/>
                  <w:r w:rsidRPr="00613FAD">
                    <w:rPr>
                      <w:rFonts w:ascii="Helvetica" w:hAnsi="Helvetica" w:cs="Helvetica"/>
                      <w:i/>
                      <w:iCs/>
                      <w:color w:val="11171A"/>
                      <w:sz w:val="21"/>
                      <w:szCs w:val="21"/>
                    </w:rPr>
                    <w:t>viroidinae</w:t>
                  </w:r>
                  <w:proofErr w:type="spellEnd"/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>" for subfamilies, and "</w:t>
                  </w:r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noBreakHyphen/>
                  </w:r>
                  <w:r w:rsidRPr="00613FAD">
                    <w:rPr>
                      <w:rFonts w:ascii="Helvetica" w:hAnsi="Helvetica" w:cs="Helvetica"/>
                      <w:i/>
                      <w:iCs/>
                      <w:color w:val="11171A"/>
                      <w:sz w:val="21"/>
                      <w:szCs w:val="21"/>
                    </w:rPr>
                    <w:t>viroid</w:t>
                  </w:r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>" for genera and subgenera.</w:t>
                  </w:r>
                </w:p>
                <w:p w14:paraId="0250EF04" w14:textId="77777777" w:rsidR="00606A63" w:rsidRPr="00613FAD" w:rsidRDefault="00606A63" w:rsidP="00606A63">
                  <w:pPr>
                    <w:keepNext/>
                    <w:keepLines/>
                    <w:spacing w:before="347" w:after="347" w:line="370" w:lineRule="atLeast"/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</w:pPr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>3.27.3</w:t>
                  </w:r>
                </w:p>
                <w:p w14:paraId="0275F0C1" w14:textId="339DA7DF" w:rsidR="00606A63" w:rsidRDefault="00606A63" w:rsidP="00613FAD">
                  <w:pPr>
                    <w:spacing w:before="347" w:after="347" w:line="370" w:lineRule="atLeast"/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</w:pPr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 xml:space="preserve">The formal endings for taxon names of </w:t>
                  </w:r>
                  <w:proofErr w:type="spellStart"/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>viriforms</w:t>
                  </w:r>
                  <w:proofErr w:type="spellEnd"/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 xml:space="preserve"> are the suffixes "-</w:t>
                  </w:r>
                  <w:proofErr w:type="spellStart"/>
                  <w:r w:rsidRPr="00613FAD">
                    <w:rPr>
                      <w:rFonts w:ascii="Helvetica" w:hAnsi="Helvetica" w:cs="Helvetica"/>
                      <w:i/>
                      <w:iCs/>
                      <w:color w:val="70AD47" w:themeColor="accent6"/>
                      <w:sz w:val="21"/>
                      <w:szCs w:val="21"/>
                    </w:rPr>
                    <w:t>viriformia</w:t>
                  </w:r>
                  <w:proofErr w:type="spellEnd"/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>" for realms, "</w:t>
                  </w:r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noBreakHyphen/>
                  </w:r>
                  <w:proofErr w:type="spellStart"/>
                  <w:r w:rsidRPr="00613FAD">
                    <w:rPr>
                      <w:rFonts w:ascii="Helvetica" w:hAnsi="Helvetica" w:cs="Helvetica"/>
                      <w:i/>
                      <w:iCs/>
                      <w:color w:val="70AD47" w:themeColor="accent6"/>
                      <w:sz w:val="21"/>
                      <w:szCs w:val="21"/>
                    </w:rPr>
                    <w:t>viriforma</w:t>
                  </w:r>
                  <w:proofErr w:type="spellEnd"/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 xml:space="preserve">" for </w:t>
                  </w:r>
                  <w:proofErr w:type="spellStart"/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>subrealms</w:t>
                  </w:r>
                  <w:proofErr w:type="spellEnd"/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>, "-</w:t>
                  </w:r>
                  <w:proofErr w:type="spellStart"/>
                  <w:r w:rsidRPr="00613FAD">
                    <w:rPr>
                      <w:rFonts w:ascii="Helvetica" w:hAnsi="Helvetica" w:cs="Helvetica"/>
                      <w:i/>
                      <w:iCs/>
                      <w:color w:val="70AD47" w:themeColor="accent6"/>
                      <w:sz w:val="21"/>
                      <w:szCs w:val="21"/>
                    </w:rPr>
                    <w:t>viriformae</w:t>
                  </w:r>
                  <w:proofErr w:type="spellEnd"/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>" for kingdoms, "-</w:t>
                  </w:r>
                  <w:proofErr w:type="spellStart"/>
                  <w:r w:rsidRPr="00613FAD">
                    <w:rPr>
                      <w:rFonts w:ascii="Helvetica" w:hAnsi="Helvetica" w:cs="Helvetica"/>
                      <w:i/>
                      <w:iCs/>
                      <w:color w:val="11171A"/>
                      <w:sz w:val="21"/>
                      <w:szCs w:val="21"/>
                    </w:rPr>
                    <w:t>viriformites</w:t>
                  </w:r>
                  <w:proofErr w:type="spellEnd"/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>" for subkingdoms, "</w:t>
                  </w:r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noBreakHyphen/>
                  </w:r>
                  <w:proofErr w:type="spellStart"/>
                  <w:r w:rsidRPr="00613FAD">
                    <w:rPr>
                      <w:rFonts w:ascii="Helvetica" w:hAnsi="Helvetica" w:cs="Helvetica"/>
                      <w:i/>
                      <w:iCs/>
                      <w:color w:val="11171A"/>
                      <w:sz w:val="21"/>
                      <w:szCs w:val="21"/>
                    </w:rPr>
                    <w:t>viriformicota</w:t>
                  </w:r>
                  <w:proofErr w:type="spellEnd"/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>" for phyla, "-</w:t>
                  </w:r>
                  <w:proofErr w:type="spellStart"/>
                  <w:r w:rsidRPr="00613FAD">
                    <w:rPr>
                      <w:rFonts w:ascii="Helvetica" w:hAnsi="Helvetica" w:cs="Helvetica"/>
                      <w:i/>
                      <w:iCs/>
                      <w:color w:val="11171A"/>
                      <w:sz w:val="21"/>
                      <w:szCs w:val="21"/>
                    </w:rPr>
                    <w:t>viriformicotina</w:t>
                  </w:r>
                  <w:proofErr w:type="spellEnd"/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>" for subphyla, "-</w:t>
                  </w:r>
                  <w:proofErr w:type="spellStart"/>
                  <w:r w:rsidRPr="00613FAD">
                    <w:rPr>
                      <w:rFonts w:ascii="Helvetica" w:hAnsi="Helvetica" w:cs="Helvetica"/>
                      <w:i/>
                      <w:iCs/>
                      <w:color w:val="11171A"/>
                      <w:sz w:val="21"/>
                      <w:szCs w:val="21"/>
                    </w:rPr>
                    <w:t>viriformicetes</w:t>
                  </w:r>
                  <w:proofErr w:type="spellEnd"/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>" for classes, "</w:t>
                  </w:r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noBreakHyphen/>
                  </w:r>
                  <w:proofErr w:type="spellStart"/>
                  <w:r w:rsidRPr="00613FAD">
                    <w:rPr>
                      <w:rFonts w:ascii="Helvetica" w:hAnsi="Helvetica" w:cs="Helvetica"/>
                      <w:i/>
                      <w:iCs/>
                      <w:color w:val="11171A"/>
                      <w:sz w:val="21"/>
                      <w:szCs w:val="21"/>
                    </w:rPr>
                    <w:t>viriformicetida</w:t>
                  </w:r>
                  <w:r w:rsidR="00613FAD" w:rsidRPr="00613FAD">
                    <w:rPr>
                      <w:rFonts w:ascii="Helvetica" w:hAnsi="Helvetica" w:cs="Helvetica"/>
                      <w:i/>
                      <w:iCs/>
                      <w:color w:val="11171A"/>
                      <w:sz w:val="21"/>
                      <w:szCs w:val="21"/>
                    </w:rPr>
                    <w:t>e</w:t>
                  </w:r>
                  <w:proofErr w:type="spellEnd"/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>" for subclasses, "-</w:t>
                  </w:r>
                  <w:proofErr w:type="spellStart"/>
                  <w:r w:rsidRPr="00613FAD">
                    <w:rPr>
                      <w:rFonts w:ascii="Helvetica" w:hAnsi="Helvetica" w:cs="Helvetica"/>
                      <w:i/>
                      <w:iCs/>
                      <w:color w:val="11171A"/>
                      <w:sz w:val="21"/>
                      <w:szCs w:val="21"/>
                    </w:rPr>
                    <w:t>viriformales</w:t>
                  </w:r>
                  <w:proofErr w:type="spellEnd"/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>" for orders, "-</w:t>
                  </w:r>
                  <w:proofErr w:type="spellStart"/>
                  <w:r w:rsidRPr="00613FAD">
                    <w:rPr>
                      <w:rFonts w:ascii="Helvetica" w:hAnsi="Helvetica" w:cs="Helvetica"/>
                      <w:i/>
                      <w:iCs/>
                      <w:color w:val="11171A"/>
                      <w:sz w:val="21"/>
                      <w:szCs w:val="21"/>
                    </w:rPr>
                    <w:t>viriformineae</w:t>
                  </w:r>
                  <w:proofErr w:type="spellEnd"/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>" for suborders, "</w:t>
                  </w:r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noBreakHyphen/>
                  </w:r>
                  <w:proofErr w:type="spellStart"/>
                  <w:r w:rsidRPr="00613FAD">
                    <w:rPr>
                      <w:rFonts w:ascii="Helvetica" w:hAnsi="Helvetica" w:cs="Helvetica"/>
                      <w:i/>
                      <w:iCs/>
                      <w:color w:val="70AD47" w:themeColor="accent6"/>
                      <w:sz w:val="21"/>
                      <w:szCs w:val="21"/>
                    </w:rPr>
                    <w:t>viriform</w:t>
                  </w:r>
                  <w:r w:rsidR="00613FAD" w:rsidRPr="00613FAD">
                    <w:rPr>
                      <w:rFonts w:ascii="Helvetica" w:hAnsi="Helvetica" w:cs="Helvetica"/>
                      <w:i/>
                      <w:iCs/>
                      <w:color w:val="70AD47" w:themeColor="accent6"/>
                      <w:sz w:val="21"/>
                      <w:szCs w:val="21"/>
                    </w:rPr>
                    <w:t>id</w:t>
                  </w:r>
                  <w:r w:rsidRPr="00613FAD">
                    <w:rPr>
                      <w:rFonts w:ascii="Helvetica" w:hAnsi="Helvetica" w:cs="Helvetica"/>
                      <w:i/>
                      <w:iCs/>
                      <w:color w:val="70AD47" w:themeColor="accent6"/>
                      <w:sz w:val="21"/>
                      <w:szCs w:val="21"/>
                    </w:rPr>
                    <w:t>ae</w:t>
                  </w:r>
                  <w:proofErr w:type="spellEnd"/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>" for families, "-</w:t>
                  </w:r>
                  <w:proofErr w:type="spellStart"/>
                  <w:r w:rsidRPr="00613FAD">
                    <w:rPr>
                      <w:rFonts w:ascii="Helvetica" w:hAnsi="Helvetica" w:cs="Helvetica"/>
                      <w:i/>
                      <w:iCs/>
                      <w:color w:val="11171A"/>
                      <w:sz w:val="21"/>
                      <w:szCs w:val="21"/>
                    </w:rPr>
                    <w:t>viriforminae</w:t>
                  </w:r>
                  <w:proofErr w:type="spellEnd"/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>" for subfamilies, and "-</w:t>
                  </w:r>
                  <w:proofErr w:type="spellStart"/>
                  <w:r w:rsidRPr="00613FAD">
                    <w:rPr>
                      <w:rFonts w:ascii="Helvetica" w:hAnsi="Helvetica" w:cs="Helvetica"/>
                      <w:i/>
                      <w:iCs/>
                      <w:color w:val="11171A"/>
                      <w:sz w:val="21"/>
                      <w:szCs w:val="21"/>
                    </w:rPr>
                    <w:t>viriform</w:t>
                  </w:r>
                  <w:proofErr w:type="spellEnd"/>
                  <w:r w:rsidRPr="00613FAD"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>" for genera and subgenera.</w:t>
                  </w:r>
                </w:p>
                <w:p w14:paraId="65917C70" w14:textId="5FC45DF0" w:rsidR="00D9125B" w:rsidRPr="003B64D2" w:rsidRDefault="00D9125B" w:rsidP="00D9125B">
                  <w:pPr>
                    <w:spacing w:before="347" w:after="347" w:line="370" w:lineRule="atLeast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>[Note that the family ending -</w:t>
                  </w:r>
                  <w:proofErr w:type="spellStart"/>
                  <w:r w:rsidRPr="00D9125B">
                    <w:rPr>
                      <w:rFonts w:ascii="Helvetica" w:hAnsi="Helvetica" w:cs="Helvetica"/>
                      <w:i/>
                      <w:iCs/>
                      <w:color w:val="11171A"/>
                      <w:sz w:val="21"/>
                      <w:szCs w:val="21"/>
                    </w:rPr>
                    <w:t>viroidae</w:t>
                  </w:r>
                  <w:proofErr w:type="spellEnd"/>
                  <w:r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 xml:space="preserve"> for viroid families, indicated above in orange, is currently not in line with those of all other mobile genetic element classes (should be: -</w:t>
                  </w:r>
                  <w:proofErr w:type="spellStart"/>
                  <w:r w:rsidRPr="00D9125B">
                    <w:rPr>
                      <w:rFonts w:ascii="Helvetica" w:hAnsi="Helvetica" w:cs="Helvetica"/>
                      <w:i/>
                      <w:iCs/>
                      <w:color w:val="11171A"/>
                      <w:sz w:val="21"/>
                      <w:szCs w:val="21"/>
                    </w:rPr>
                    <w:t>viroididae</w:t>
                  </w:r>
                  <w:proofErr w:type="spellEnd"/>
                  <w:r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 xml:space="preserve">), but this correction will require a standard </w:t>
                  </w:r>
                  <w:proofErr w:type="spellStart"/>
                  <w:r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>TaxoProp</w:t>
                  </w:r>
                  <w:proofErr w:type="spellEnd"/>
                  <w:r>
                    <w:rPr>
                      <w:rFonts w:ascii="Helvetica" w:hAnsi="Helvetica" w:cs="Helvetica"/>
                      <w:color w:val="11171A"/>
                      <w:sz w:val="21"/>
                      <w:szCs w:val="21"/>
                    </w:rPr>
                    <w:t xml:space="preserve"> as its change would trigger the subsequent change of all established viroid family names as well.]</w:t>
                  </w: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5556E8C1" w14:textId="31EB5583" w:rsidR="00A174CC" w:rsidRDefault="00A174CC"/>
    <w:sectPr w:rsidR="00A174CC">
      <w:headerReference w:type="default" r:id="rId9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8337E" w14:textId="77777777" w:rsidR="00F5567D" w:rsidRDefault="00F5567D">
      <w:r>
        <w:separator/>
      </w:r>
    </w:p>
  </w:endnote>
  <w:endnote w:type="continuationSeparator" w:id="0">
    <w:p w14:paraId="6DA772E4" w14:textId="77777777" w:rsidR="00F5567D" w:rsidRDefault="00F5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﷽﷽﷽﷽﷽﷽﷽﷽뫝茀Ɇ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altName w:val="﷽﷽﷽﷽﷽﷽﷽﷽ SC"/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E50B4" w14:textId="77777777" w:rsidR="00F5567D" w:rsidRDefault="00F5567D">
      <w:r>
        <w:separator/>
      </w:r>
    </w:p>
  </w:footnote>
  <w:footnote w:type="continuationSeparator" w:id="0">
    <w:p w14:paraId="325FFEE3" w14:textId="77777777" w:rsidR="00F5567D" w:rsidRDefault="00F55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EB404" w14:textId="77777777" w:rsidR="00A174CC" w:rsidRDefault="008815EE">
    <w:pPr>
      <w:pStyle w:val="Header"/>
      <w:jc w:val="right"/>
    </w:pPr>
    <w:r>
      <w:t>October 2020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43ED4"/>
    <w:multiLevelType w:val="hybridMultilevel"/>
    <w:tmpl w:val="CB66A958"/>
    <w:lvl w:ilvl="0" w:tplc="0FF6B28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0C3056"/>
    <w:multiLevelType w:val="hybridMultilevel"/>
    <w:tmpl w:val="1EDEA2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A86BBD"/>
    <w:multiLevelType w:val="hybridMultilevel"/>
    <w:tmpl w:val="A294A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205DE"/>
    <w:multiLevelType w:val="hybridMultilevel"/>
    <w:tmpl w:val="0630E194"/>
    <w:lvl w:ilvl="0" w:tplc="5F48A2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1A192B"/>
    <w:multiLevelType w:val="hybridMultilevel"/>
    <w:tmpl w:val="5C70C9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1A7FB4"/>
    <w:rsid w:val="002F3DAD"/>
    <w:rsid w:val="00300894"/>
    <w:rsid w:val="00376058"/>
    <w:rsid w:val="003B64D2"/>
    <w:rsid w:val="003F5711"/>
    <w:rsid w:val="004008BC"/>
    <w:rsid w:val="0043110C"/>
    <w:rsid w:val="004E22E2"/>
    <w:rsid w:val="00543F86"/>
    <w:rsid w:val="005A2011"/>
    <w:rsid w:val="005A54C3"/>
    <w:rsid w:val="00606A63"/>
    <w:rsid w:val="00613FAD"/>
    <w:rsid w:val="006F26E4"/>
    <w:rsid w:val="00853844"/>
    <w:rsid w:val="0086358A"/>
    <w:rsid w:val="008815EE"/>
    <w:rsid w:val="008D46D8"/>
    <w:rsid w:val="00902E7D"/>
    <w:rsid w:val="00963E62"/>
    <w:rsid w:val="0097554C"/>
    <w:rsid w:val="00A174CC"/>
    <w:rsid w:val="00B70595"/>
    <w:rsid w:val="00B865F9"/>
    <w:rsid w:val="00BD001E"/>
    <w:rsid w:val="00D12E7F"/>
    <w:rsid w:val="00D9125B"/>
    <w:rsid w:val="00F03612"/>
    <w:rsid w:val="00F5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semiHidden/>
    <w:unhideWhenUsed/>
    <w:rsid w:val="006F26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2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hnjens@mail.nih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Peter Walker</cp:lastModifiedBy>
  <cp:revision>3</cp:revision>
  <dcterms:created xsi:type="dcterms:W3CDTF">2021-05-21T07:23:00Z</dcterms:created>
  <dcterms:modified xsi:type="dcterms:W3CDTF">2021-05-23T00:19:00Z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