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fr-FR" w:eastAsia="fr-FR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708456F4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2008BDE9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0A6A6372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2E75D10D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78E1A1E2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C012277" w:rsidR="00A174CC" w:rsidRPr="00084189" w:rsidRDefault="00654314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8418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2023.013F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D6929F5" w:rsidR="00A174CC" w:rsidRPr="000A146A" w:rsidRDefault="008815EE" w:rsidP="008B44F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00DE3">
              <w:rPr>
                <w:rFonts w:ascii="Arial" w:hAnsi="Arial" w:cs="Arial"/>
                <w:bCs/>
              </w:rPr>
              <w:t>Rename existing species and c</w:t>
            </w:r>
            <w:r w:rsidR="001A3D6C" w:rsidRPr="001A3D6C">
              <w:rPr>
                <w:rFonts w:ascii="Arial" w:hAnsi="Arial" w:cs="Arial"/>
                <w:bCs/>
              </w:rPr>
              <w:t xml:space="preserve">reate </w:t>
            </w:r>
            <w:r w:rsidR="00671821" w:rsidRPr="00B95CD9">
              <w:rPr>
                <w:rFonts w:ascii="Arial" w:hAnsi="Arial" w:cs="Arial"/>
                <w:bCs/>
              </w:rPr>
              <w:t>1</w:t>
            </w:r>
            <w:r w:rsidR="001A3D6C" w:rsidRPr="00B95CD9">
              <w:rPr>
                <w:rFonts w:ascii="Arial" w:hAnsi="Arial" w:cs="Arial"/>
                <w:bCs/>
              </w:rPr>
              <w:t xml:space="preserve"> n</w:t>
            </w:r>
            <w:r w:rsidR="001A3D6C" w:rsidRPr="001A3D6C">
              <w:rPr>
                <w:rFonts w:ascii="Arial" w:hAnsi="Arial" w:cs="Arial"/>
                <w:bCs/>
              </w:rPr>
              <w:t>ew species (</w:t>
            </w:r>
            <w:proofErr w:type="spellStart"/>
            <w:r w:rsidR="001A3D6C" w:rsidRPr="001A3D6C">
              <w:rPr>
                <w:rFonts w:ascii="Arial" w:hAnsi="Arial" w:cs="Arial"/>
                <w:bCs/>
                <w:i/>
              </w:rPr>
              <w:t>Tymovirales</w:t>
            </w:r>
            <w:proofErr w:type="spellEnd"/>
            <w:r w:rsidR="001A3D6C" w:rsidRPr="001A3D6C"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="008B44FE" w:rsidRPr="008B44FE">
              <w:rPr>
                <w:rFonts w:ascii="Arial" w:hAnsi="Arial" w:cs="Arial"/>
                <w:bCs/>
                <w:i/>
              </w:rPr>
              <w:t>Delta</w:t>
            </w:r>
            <w:r w:rsidR="001A3D6C" w:rsidRPr="001A3D6C">
              <w:rPr>
                <w:rFonts w:ascii="Arial" w:hAnsi="Arial" w:cs="Arial"/>
                <w:bCs/>
                <w:i/>
              </w:rPr>
              <w:t>flexiviridae</w:t>
            </w:r>
            <w:proofErr w:type="spellEnd"/>
            <w:r w:rsidR="001A3D6C" w:rsidRPr="001A3D6C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1A3D6C">
        <w:tc>
          <w:tcPr>
            <w:tcW w:w="4368" w:type="dxa"/>
            <w:shd w:val="clear" w:color="auto" w:fill="auto"/>
          </w:tcPr>
          <w:p w14:paraId="1719DF85" w14:textId="499A2E93" w:rsidR="00A174CC" w:rsidRDefault="001A3D6C"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T, Blouin A, Cao M, Cho WK, Constable F,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Mollov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D, Nagata T, Sabanadzovic 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Saldarelli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P, Tzanetakis I, Villamor DE</w:t>
            </w:r>
          </w:p>
        </w:tc>
        <w:tc>
          <w:tcPr>
            <w:tcW w:w="4704" w:type="dxa"/>
            <w:shd w:val="clear" w:color="auto" w:fill="auto"/>
          </w:tcPr>
          <w:p w14:paraId="56A09FFF" w14:textId="31F4C361" w:rsidR="00A174CC" w:rsidRDefault="00000000">
            <w:hyperlink r:id="rId8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thierry.candresse@inrae.fr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1A3D6C" w:rsidRPr="00C17E4D">
                <w:rPr>
                  <w:rStyle w:val="Hyperlink"/>
                  <w:rFonts w:ascii="Arial" w:hAnsi="Arial" w:cs="Arial"/>
                  <w:sz w:val="22"/>
                  <w:szCs w:val="22"/>
                </w:rPr>
                <w:t>arnaud.blouin@agroscope.admin.ch</w:t>
              </w:r>
            </w:hyperlink>
            <w:r w:rsidR="001A3D6C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mengjicao@gmail.com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wonkyong@gmail.com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  <w:u w:val="single"/>
              </w:rPr>
              <w:t>;</w:t>
            </w:r>
            <w:r w:rsidR="001A3D6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hyperlink r:id="rId12" w:history="1">
              <w:r w:rsidR="001A3D6C" w:rsidRPr="00C17E4D">
                <w:rPr>
                  <w:rStyle w:val="Hyperlink"/>
                  <w:rFonts w:ascii="Arial" w:hAnsi="Arial" w:cs="Arial"/>
                  <w:sz w:val="22"/>
                  <w:szCs w:val="22"/>
                </w:rPr>
                <w:t>Fiona.Constable@ecodev.vic.gov.au</w:t>
              </w:r>
            </w:hyperlink>
            <w:r w:rsidR="001A3D6C">
              <w:rPr>
                <w:rFonts w:ascii="Arial" w:hAnsi="Arial" w:cs="Arial"/>
                <w:sz w:val="22"/>
                <w:szCs w:val="22"/>
                <w:u w:val="single"/>
              </w:rPr>
              <w:t xml:space="preserve">; </w:t>
            </w:r>
            <w:hyperlink r:id="rId13" w:history="1">
              <w:r w:rsidR="001A3D6C" w:rsidRPr="00A345C2">
                <w:rPr>
                  <w:rStyle w:val="Hyperlink"/>
                  <w:rFonts w:ascii="Arial" w:hAnsi="Arial" w:cs="Arial"/>
                  <w:sz w:val="22"/>
                  <w:szCs w:val="22"/>
                </w:rPr>
                <w:t>dimitre.mollov@usda.gov</w:t>
              </w:r>
            </w:hyperlink>
            <w:r w:rsidR="001A3D6C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tatsuya@unb.br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SSabanadzovic@entomology.msstate.edu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pasquale.saldarelli@ipsp.cnr.it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itzaneta@uark.edu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8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dvvillam@uark.edu</w:t>
              </w:r>
            </w:hyperlink>
          </w:p>
        </w:tc>
      </w:tr>
    </w:tbl>
    <w:p w14:paraId="3AB5AD1A" w14:textId="77777777" w:rsidR="00A174CC" w:rsidRPr="001A3D6C" w:rsidRDefault="008815EE" w:rsidP="001A3D6C">
      <w:pPr>
        <w:spacing w:before="360" w:after="120"/>
        <w:rPr>
          <w:rFonts w:ascii="Arial" w:hAnsi="Arial" w:cs="Arial"/>
          <w:sz w:val="20"/>
          <w:szCs w:val="20"/>
        </w:rPr>
      </w:pPr>
      <w:r w:rsidRPr="001A3D6C"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7EB48315" w:rsidR="00437970" w:rsidRDefault="001A3D6C" w:rsidP="001A3D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</w:tc>
      </w:tr>
    </w:tbl>
    <w:p w14:paraId="5872B564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FE43341" w14:textId="74DA654E" w:rsidR="00A174CC" w:rsidRDefault="001A3D6C">
            <w:pPr>
              <w:rPr>
                <w:rFonts w:ascii="Arial" w:hAnsi="Arial" w:cs="Arial"/>
                <w:sz w:val="22"/>
                <w:szCs w:val="22"/>
              </w:rPr>
            </w:pPr>
            <w:r w:rsidRPr="007A7310"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Beta</w:t>
            </w:r>
            <w:r>
              <w:rPr>
                <w:rFonts w:ascii="Arial" w:hAnsi="Arial" w:cs="Arial"/>
                <w:sz w:val="22"/>
                <w:szCs w:val="22"/>
              </w:rPr>
              <w:t xml:space="preserve">-,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Delta</w:t>
            </w:r>
            <w:r>
              <w:rPr>
                <w:rFonts w:ascii="Arial" w:hAnsi="Arial" w:cs="Arial"/>
                <w:sz w:val="22"/>
                <w:szCs w:val="22"/>
              </w:rPr>
              <w:t xml:space="preserve">- and </w:t>
            </w:r>
            <w:proofErr w:type="spellStart"/>
            <w:r w:rsidRPr="00D50F6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Pr="007A7310">
              <w:rPr>
                <w:rFonts w:ascii="Arial" w:hAnsi="Arial" w:cs="Arial"/>
                <w:sz w:val="22"/>
                <w:szCs w:val="22"/>
              </w:rPr>
              <w:t>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5D2CB238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1A3D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11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6F177C62" w:rsidR="0037243A" w:rsidRDefault="001A3D6C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1543F2">
              <w:rPr>
                <w:rFonts w:ascii="Arial" w:hAnsi="Arial" w:cs="Arial"/>
                <w:i/>
                <w:sz w:val="22"/>
                <w:szCs w:val="22"/>
              </w:rPr>
              <w:t xml:space="preserve">Beta-, Delta-, </w:t>
            </w:r>
            <w:proofErr w:type="spellStart"/>
            <w:r w:rsidRPr="001543F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2C2EE593" w:rsidR="0037243A" w:rsidRPr="003F1BDC" w:rsidRDefault="0065675B" w:rsidP="0065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BD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EC5D82B" w14:textId="1E29FB17" w:rsidR="0037243A" w:rsidRPr="003F1BDC" w:rsidRDefault="0065675B" w:rsidP="0065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BD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B926E28" w:rsidR="0037243A" w:rsidRPr="003F1BDC" w:rsidRDefault="0065675B" w:rsidP="0065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B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16EF8" w14:textId="77777777" w:rsidR="001A3D6C" w:rsidRDefault="001A3D6C">
      <w:pPr>
        <w:spacing w:before="120" w:after="120"/>
        <w:rPr>
          <w:rFonts w:ascii="Arial" w:hAnsi="Arial" w:cs="Arial"/>
          <w:b/>
        </w:rPr>
      </w:pPr>
    </w:p>
    <w:p w14:paraId="29D73168" w14:textId="77777777" w:rsidR="001E4EDC" w:rsidRDefault="001E4E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0F9A0C" w14:textId="314E747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1A3D6C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39463A9" w:rsidR="00A174CC" w:rsidRPr="000A146A" w:rsidRDefault="001A3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Pr="001A3D6C" w:rsidRDefault="00A174CC">
      <w:pPr>
        <w:rPr>
          <w:rFonts w:ascii="Arial" w:hAnsi="Arial" w:cs="Arial"/>
          <w:iCs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Pr="00704F12" w:rsidRDefault="008815EE">
            <w:pPr>
              <w:rPr>
                <w:sz w:val="22"/>
                <w:szCs w:val="22"/>
              </w:rPr>
            </w:pPr>
            <w:r w:rsidRPr="00704F12"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B8AFFE2" w:rsidR="00A174CC" w:rsidRDefault="00704F12" w:rsidP="00704F12">
            <w:pPr>
              <w:rPr>
                <w:rFonts w:ascii="Arial" w:hAnsi="Arial" w:cs="Arial"/>
                <w:sz w:val="22"/>
                <w:szCs w:val="22"/>
              </w:rPr>
            </w:pPr>
            <w:r w:rsidRPr="00704F12">
              <w:rPr>
                <w:rFonts w:ascii="Arial" w:hAnsi="Arial" w:cs="Arial"/>
                <w:sz w:val="22"/>
                <w:szCs w:val="22"/>
              </w:rPr>
              <w:t>20/6/2023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6DF078A" w:rsidR="00A174CC" w:rsidRDefault="00000DE3" w:rsidP="00905C0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65675B">
              <w:rPr>
                <w:rFonts w:ascii="Arial" w:hAnsi="Arial" w:cs="Arial"/>
                <w:bCs/>
                <w:sz w:val="22"/>
                <w:szCs w:val="22"/>
              </w:rPr>
              <w:t>013F</w:t>
            </w:r>
            <w:r>
              <w:rPr>
                <w:rFonts w:ascii="Arial" w:hAnsi="Arial" w:cs="Arial"/>
                <w:bCs/>
                <w:sz w:val="22"/>
                <w:szCs w:val="22"/>
              </w:rPr>
              <w:t>.v</w:t>
            </w:r>
            <w:r w:rsidR="00E14C7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.Deltaflexi</w:t>
            </w:r>
            <w:r w:rsidR="002A091C">
              <w:rPr>
                <w:rFonts w:ascii="Arial" w:hAnsi="Arial" w:cs="Arial"/>
                <w:bCs/>
                <w:sz w:val="22"/>
                <w:szCs w:val="22"/>
              </w:rPr>
              <w:t>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>_1nsp</w:t>
            </w:r>
            <w:r w:rsidR="0065675B">
              <w:rPr>
                <w:rFonts w:ascii="Arial" w:hAnsi="Arial" w:cs="Arial"/>
                <w:bCs/>
                <w:sz w:val="22"/>
                <w:szCs w:val="22"/>
              </w:rPr>
              <w:t>_spren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</w:t>
            </w:r>
            <w:r w:rsidR="00905C08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sx</w:t>
            </w:r>
          </w:p>
        </w:tc>
      </w:tr>
    </w:tbl>
    <w:p w14:paraId="6D4AFA16" w14:textId="77777777" w:rsidR="00A174CC" w:rsidRDefault="008815EE" w:rsidP="001A3D6C">
      <w:pPr>
        <w:spacing w:before="36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EBFF121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2B5F695" w:rsidR="00A174CC" w:rsidRPr="00000DE3" w:rsidRDefault="001A3D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We propose the creation of </w:t>
            </w:r>
            <w:r w:rsidR="00A31B85">
              <w:rPr>
                <w:rFonts w:ascii="Arial" w:hAnsi="Arial" w:cs="Arial"/>
                <w:bCs/>
                <w:sz w:val="22"/>
                <w:szCs w:val="22"/>
              </w:rPr>
              <w:t>one</w:t>
            </w:r>
            <w:r w:rsidRPr="00B95CD9">
              <w:rPr>
                <w:rFonts w:ascii="Arial" w:hAnsi="Arial" w:cs="Arial"/>
                <w:bCs/>
                <w:sz w:val="22"/>
                <w:szCs w:val="22"/>
              </w:rPr>
              <w:t xml:space="preserve"> n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ovel species in </w:t>
            </w:r>
            <w:r w:rsidR="008B44FE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A31B85">
              <w:rPr>
                <w:rFonts w:ascii="Arial" w:hAnsi="Arial" w:cs="Arial"/>
                <w:bCs/>
                <w:sz w:val="22"/>
                <w:szCs w:val="22"/>
              </w:rPr>
              <w:t xml:space="preserve">genus </w:t>
            </w:r>
            <w:proofErr w:type="spellStart"/>
            <w:r w:rsidR="008B44FE" w:rsidRPr="00835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Deltaflexivirus</w:t>
            </w:r>
            <w:proofErr w:type="spellEnd"/>
            <w:r w:rsidR="008B44F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family </w:t>
            </w:r>
            <w:proofErr w:type="spellStart"/>
            <w:r w:rsidR="008B44FE">
              <w:rPr>
                <w:rFonts w:ascii="Arial" w:hAnsi="Arial" w:cs="Arial"/>
                <w:bCs/>
                <w:i/>
                <w:sz w:val="22"/>
                <w:szCs w:val="22"/>
              </w:rPr>
              <w:t>Delta</w:t>
            </w:r>
            <w:r w:rsidRPr="0093244B">
              <w:rPr>
                <w:rFonts w:ascii="Arial" w:hAnsi="Arial" w:cs="Arial"/>
                <w:bCs/>
                <w:i/>
                <w:sz w:val="22"/>
                <w:szCs w:val="22"/>
              </w:rPr>
              <w:t>flexiviridae</w:t>
            </w:r>
            <w:proofErr w:type="spellEnd"/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A31B85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 classify </w:t>
            </w:r>
            <w:r w:rsidR="008352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 </w:t>
            </w:r>
            <w:r w:rsidR="00A31B85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>recently characterized virus from</w:t>
            </w:r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>Pleurotus</w:t>
            </w:r>
            <w:proofErr w:type="spellEnd"/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>ostreatus</w:t>
            </w:r>
            <w:proofErr w:type="spellEnd"/>
            <w:r w:rsidR="00A31B85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="00000DE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000DE3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 addition, we adopt Latinized binomial nomenclature for all species in the family. </w:t>
            </w:r>
          </w:p>
          <w:p w14:paraId="2AB201D8" w14:textId="77777777" w:rsidR="00A174CC" w:rsidRDefault="00A174CC" w:rsidP="006718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C70215" w:rsidRPr="00C70215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0F31DE3" w:rsidR="00A174CC" w:rsidRPr="00C70215" w:rsidRDefault="00A174CC">
            <w:pPr>
              <w:pStyle w:val="BodyTextIndent"/>
              <w:spacing w:after="120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C70215" w:rsidRPr="00C70215" w14:paraId="195FC3CF" w14:textId="77777777">
              <w:tc>
                <w:tcPr>
                  <w:tcW w:w="9002" w:type="dxa"/>
                  <w:shd w:val="clear" w:color="auto" w:fill="auto"/>
                </w:tcPr>
                <w:p w14:paraId="05C3EAA8" w14:textId="1EEB4093" w:rsidR="006C1121" w:rsidRPr="00C70215" w:rsidRDefault="006C1121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The family </w:t>
                  </w:r>
                  <w:proofErr w:type="spellStart"/>
                  <w:r w:rsidR="008B44FE">
                    <w:rPr>
                      <w:rFonts w:ascii="Arial" w:hAnsi="Arial" w:cs="Arial"/>
                      <w:i/>
                      <w:sz w:val="22"/>
                      <w:szCs w:val="22"/>
                    </w:rPr>
                    <w:t>Delta</w:t>
                  </w:r>
                  <w:r w:rsidRPr="00C70215">
                    <w:rPr>
                      <w:rFonts w:ascii="Arial" w:hAnsi="Arial" w:cs="Arial"/>
                      <w:i/>
                      <w:sz w:val="22"/>
                      <w:szCs w:val="22"/>
                    </w:rPr>
                    <w:t>flexiviridae</w:t>
                  </w:r>
                  <w:proofErr w:type="spellEnd"/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 currently includes </w:t>
                  </w:r>
                  <w:r w:rsidR="008B44FE">
                    <w:rPr>
                      <w:rFonts w:ascii="Arial" w:hAnsi="Arial" w:cs="Arial"/>
                      <w:sz w:val="22"/>
                      <w:szCs w:val="22"/>
                    </w:rPr>
                    <w:t xml:space="preserve">a single genus, </w:t>
                  </w:r>
                  <w:proofErr w:type="spellStart"/>
                  <w:r w:rsidR="008B44FE">
                    <w:rPr>
                      <w:rFonts w:ascii="Arial" w:hAnsi="Arial" w:cs="Arial"/>
                      <w:i/>
                      <w:sz w:val="22"/>
                      <w:szCs w:val="22"/>
                    </w:rPr>
                    <w:t>Deltaflexivirus</w:t>
                  </w:r>
                  <w:proofErr w:type="spellEnd"/>
                  <w:r w:rsidR="00B95CD9">
                    <w:rPr>
                      <w:rFonts w:ascii="Arial" w:hAnsi="Arial" w:cs="Arial"/>
                      <w:i/>
                      <w:sz w:val="22"/>
                      <w:szCs w:val="22"/>
                    </w:rPr>
                    <w:t>,</w:t>
                  </w:r>
                  <w:r w:rsidR="00B95CD9">
                    <w:rPr>
                      <w:rFonts w:ascii="Arial" w:hAnsi="Arial" w:cs="Arial"/>
                      <w:sz w:val="22"/>
                      <w:szCs w:val="22"/>
                    </w:rPr>
                    <w:t xml:space="preserve"> which contains three species. S</w:t>
                  </w:r>
                  <w:r w:rsidR="00B95CD9" w:rsidRPr="00991358">
                    <w:rPr>
                      <w:rFonts w:ascii="Arial" w:hAnsi="Arial" w:cs="Arial"/>
                      <w:sz w:val="22"/>
                      <w:szCs w:val="22"/>
                    </w:rPr>
                    <w:t xml:space="preserve">pecies demarcation criteria in the genus include typical parameters such as host range and genome organization but </w:t>
                  </w:r>
                  <w:r w:rsidR="00B95CD9" w:rsidRPr="00991358">
                    <w:rPr>
                      <w:rFonts w:ascii="Arial" w:hAnsi="Arial" w:cs="Arial"/>
                      <w:iCs/>
                      <w:sz w:val="22"/>
                      <w:szCs w:val="22"/>
                    </w:rPr>
                    <w:t>sequence-based criteria have yet to be defined. It is however possible, as a first step</w:t>
                  </w:r>
                  <w:r w:rsidR="00B95CD9">
                    <w:rPr>
                      <w:rFonts w:ascii="Arial" w:hAnsi="Arial" w:cs="Arial"/>
                      <w:iCs/>
                      <w:sz w:val="22"/>
                      <w:szCs w:val="22"/>
                    </w:rPr>
                    <w:t>,</w:t>
                  </w:r>
                  <w:r w:rsidR="00B95CD9" w:rsidRPr="00991358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 to consider the </w:t>
                  </w:r>
                  <w:r w:rsidR="00B95CD9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demarcation </w:t>
                  </w:r>
                  <w:r w:rsidR="00B95CD9" w:rsidRPr="00991358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criteria established in the related </w:t>
                  </w:r>
                  <w:r w:rsidR="00B95CD9" w:rsidRPr="0099135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Alpha</w:t>
                  </w:r>
                  <w:r w:rsidR="00B95CD9" w:rsidRPr="00991358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- and </w:t>
                  </w:r>
                  <w:proofErr w:type="spellStart"/>
                  <w:r w:rsidR="00B95CD9" w:rsidRPr="0099135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Betaflexiviridae</w:t>
                  </w:r>
                  <w:proofErr w:type="spellEnd"/>
                  <w:r w:rsidR="00B95CD9" w:rsidRPr="00991358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 families which currently stand at </w:t>
                  </w:r>
                  <w:r w:rsidR="00B95CD9" w:rsidRPr="00991358">
                    <w:rPr>
                      <w:rFonts w:ascii="Arial" w:hAnsi="Arial" w:cs="Arial"/>
                      <w:sz w:val="22"/>
                      <w:szCs w:val="22"/>
                    </w:rPr>
                    <w:t>&lt;72% nucleotide identity or &lt;80% amino acid identity in the replication-associated protein (REP) of member viruses.</w:t>
                  </w:r>
                </w:p>
                <w:p w14:paraId="480DD35F" w14:textId="77777777" w:rsidR="006C1121" w:rsidRPr="00C70215" w:rsidRDefault="006C1121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9737C03" w14:textId="42191541" w:rsidR="00A174CC" w:rsidRDefault="006C1121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Here, we propose to expand the family </w:t>
                  </w:r>
                  <w:proofErr w:type="spellStart"/>
                  <w:r w:rsidR="00B95CD9">
                    <w:rPr>
                      <w:rFonts w:ascii="Arial" w:hAnsi="Arial" w:cs="Arial"/>
                      <w:i/>
                      <w:sz w:val="22"/>
                      <w:szCs w:val="22"/>
                    </w:rPr>
                    <w:t>D</w:t>
                  </w:r>
                  <w:r w:rsidRPr="00C70215">
                    <w:rPr>
                      <w:rFonts w:ascii="Arial" w:hAnsi="Arial" w:cs="Arial"/>
                      <w:i/>
                      <w:sz w:val="22"/>
                      <w:szCs w:val="22"/>
                    </w:rPr>
                    <w:t>e</w:t>
                  </w:r>
                  <w:r w:rsidR="00B95CD9">
                    <w:rPr>
                      <w:rFonts w:ascii="Arial" w:hAnsi="Arial" w:cs="Arial"/>
                      <w:i/>
                      <w:sz w:val="22"/>
                      <w:szCs w:val="22"/>
                    </w:rPr>
                    <w:t>l</w:t>
                  </w:r>
                  <w:r w:rsidRPr="00C70215">
                    <w:rPr>
                      <w:rFonts w:ascii="Arial" w:hAnsi="Arial" w:cs="Arial"/>
                      <w:i/>
                      <w:sz w:val="22"/>
                      <w:szCs w:val="22"/>
                    </w:rPr>
                    <w:t>taflexiviridae</w:t>
                  </w:r>
                  <w:proofErr w:type="spellEnd"/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 by creation of new species </w:t>
                  </w:r>
                  <w:r w:rsidR="0065675B">
                    <w:rPr>
                      <w:rFonts w:ascii="Arial" w:hAnsi="Arial" w:cs="Arial"/>
                      <w:sz w:val="22"/>
                      <w:szCs w:val="22"/>
                    </w:rPr>
                    <w:t>to classify</w:t>
                  </w:r>
                  <w:r w:rsidR="0065675B"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95CD9">
                    <w:rPr>
                      <w:rFonts w:ascii="Arial" w:hAnsi="Arial" w:cs="Arial"/>
                      <w:sz w:val="22"/>
                      <w:szCs w:val="22"/>
                    </w:rPr>
                    <w:t xml:space="preserve">a </w:t>
                  </w: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>recently discovered novel virus [</w:t>
                  </w:r>
                  <w:r w:rsidR="001E4EDC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>]. In performing its analyses</w:t>
                  </w:r>
                  <w:r w:rsidR="00A31B85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 the SG considered only novel recently described viruses for which publications provided solid evidence that the sequence corresponding to the full coding capacity of the genome was at least available.</w:t>
                  </w:r>
                </w:p>
                <w:p w14:paraId="01197934" w14:textId="77777777" w:rsidR="00A31B85" w:rsidRDefault="00A31B85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A191FB8" w14:textId="6C3A5194" w:rsidR="00A31B85" w:rsidRPr="00A31B85" w:rsidRDefault="00A31B85" w:rsidP="006C1121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 addition, a</w:t>
                  </w:r>
                  <w:r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fter extensive debate about possible options for the new binomial nomenclature, the SG voted and decided to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change previous decision and </w:t>
                  </w:r>
                  <w:r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adopt “Genus +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latinized binomial</w:t>
                  </w:r>
                  <w:r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” format for species names in the family </w:t>
                  </w:r>
                  <w:proofErr w:type="spellStart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D</w:t>
                  </w:r>
                  <w:r w:rsidRPr="007A5209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l</w:t>
                  </w:r>
                  <w:r w:rsidRPr="007A5209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taflexiviridae</w:t>
                  </w:r>
                  <w:proofErr w:type="spellEnd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. </w:t>
                  </w:r>
                  <w:r w:rsidRPr="008352C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Accordingly, with this proposal we also rename the three previously recognized species, so that overall nomenclature in the family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complies with recently adopted ICTV standards. </w:t>
                  </w:r>
                </w:p>
                <w:p w14:paraId="0F8DF6F1" w14:textId="544730E6" w:rsidR="00C70215" w:rsidRPr="00C70215" w:rsidRDefault="00C70215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728CA3" w14:textId="798A2B25" w:rsidR="00C70215" w:rsidRPr="00C70215" w:rsidRDefault="00C70215" w:rsidP="006C1121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</w:p>
                <w:p w14:paraId="65917C70" w14:textId="77777777" w:rsidR="00A174CC" w:rsidRPr="00C70215" w:rsidRDefault="00A174CC" w:rsidP="008352C6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Pr="00C70215" w:rsidRDefault="00A174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4B4011" w14:textId="77777777" w:rsidR="00C70215" w:rsidRDefault="00C7021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D430C71" w14:textId="77777777" w:rsidR="00184362" w:rsidRDefault="00184362" w:rsidP="00184362">
      <w:pPr>
        <w:rPr>
          <w:rFonts w:ascii="Arial" w:hAnsi="Arial" w:cs="Arial"/>
          <w:b/>
          <w:color w:val="000000"/>
        </w:rPr>
      </w:pPr>
    </w:p>
    <w:p w14:paraId="1D132E17" w14:textId="794D159C" w:rsidR="00184362" w:rsidRPr="00184362" w:rsidRDefault="00184362" w:rsidP="00184362">
      <w:pPr>
        <w:rPr>
          <w:rFonts w:ascii="Arial" w:hAnsi="Arial" w:cs="Arial"/>
          <w:b/>
          <w:color w:val="000000"/>
        </w:rPr>
      </w:pPr>
      <w:r w:rsidRPr="00184362">
        <w:rPr>
          <w:rFonts w:ascii="Arial" w:hAnsi="Arial" w:cs="Arial"/>
          <w:b/>
          <w:color w:val="000000"/>
        </w:rPr>
        <w:t>References</w:t>
      </w:r>
    </w:p>
    <w:p w14:paraId="03DBF922" w14:textId="77777777" w:rsidR="00184362" w:rsidRPr="00184362" w:rsidRDefault="00184362" w:rsidP="00184362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184362">
        <w:rPr>
          <w:rFonts w:ascii="Arial" w:hAnsi="Arial" w:cs="Arial"/>
          <w:color w:val="000000"/>
        </w:rPr>
        <w:t xml:space="preserve">Xiao J, Wang X, Zheng Z, Wu Y, Wang Z, Li H, Li P (2023) Molecular characterization of a novel </w:t>
      </w:r>
      <w:proofErr w:type="spellStart"/>
      <w:r w:rsidRPr="00184362">
        <w:rPr>
          <w:rFonts w:ascii="Arial" w:hAnsi="Arial" w:cs="Arial"/>
          <w:color w:val="000000"/>
        </w:rPr>
        <w:t>deltaflexivirus</w:t>
      </w:r>
      <w:proofErr w:type="spellEnd"/>
      <w:r w:rsidRPr="00184362">
        <w:rPr>
          <w:rFonts w:ascii="Arial" w:hAnsi="Arial" w:cs="Arial"/>
          <w:color w:val="000000"/>
        </w:rPr>
        <w:t xml:space="preserve"> infecting the edible fungus </w:t>
      </w:r>
      <w:proofErr w:type="spellStart"/>
      <w:r w:rsidRPr="00184362">
        <w:rPr>
          <w:rFonts w:ascii="Arial" w:hAnsi="Arial" w:cs="Arial"/>
          <w:i/>
          <w:color w:val="000000"/>
        </w:rPr>
        <w:t>Pleurotus</w:t>
      </w:r>
      <w:proofErr w:type="spellEnd"/>
      <w:r w:rsidRPr="00184362">
        <w:rPr>
          <w:rFonts w:ascii="Arial" w:hAnsi="Arial" w:cs="Arial"/>
          <w:i/>
          <w:color w:val="000000"/>
        </w:rPr>
        <w:t xml:space="preserve"> </w:t>
      </w:r>
      <w:proofErr w:type="spellStart"/>
      <w:r w:rsidRPr="00184362">
        <w:rPr>
          <w:rFonts w:ascii="Arial" w:hAnsi="Arial" w:cs="Arial"/>
          <w:i/>
          <w:color w:val="000000"/>
        </w:rPr>
        <w:t>ostreatus</w:t>
      </w:r>
      <w:proofErr w:type="spellEnd"/>
      <w:r w:rsidRPr="00184362">
        <w:rPr>
          <w:rFonts w:ascii="Arial" w:hAnsi="Arial" w:cs="Arial"/>
          <w:color w:val="000000"/>
        </w:rPr>
        <w:t xml:space="preserve">. Arch </w:t>
      </w:r>
      <w:proofErr w:type="spellStart"/>
      <w:r w:rsidRPr="00184362">
        <w:rPr>
          <w:rFonts w:ascii="Arial" w:hAnsi="Arial" w:cs="Arial"/>
          <w:color w:val="000000"/>
        </w:rPr>
        <w:t>Virol</w:t>
      </w:r>
      <w:proofErr w:type="spellEnd"/>
      <w:r w:rsidRPr="00184362">
        <w:rPr>
          <w:rFonts w:ascii="Arial" w:hAnsi="Arial" w:cs="Arial"/>
          <w:color w:val="000000"/>
        </w:rPr>
        <w:t xml:space="preserve"> 168(6):162. </w:t>
      </w:r>
      <w:hyperlink r:id="rId19" w:history="1">
        <w:r w:rsidRPr="00184362">
          <w:rPr>
            <w:rStyle w:val="Hyperlink"/>
            <w:rFonts w:ascii="Arial" w:hAnsi="Arial" w:cs="Arial"/>
          </w:rPr>
          <w:t>https://doi.org/10.1007/s00705-023-05789-4</w:t>
        </w:r>
      </w:hyperlink>
    </w:p>
    <w:p w14:paraId="28F1397C" w14:textId="77777777" w:rsidR="00184362" w:rsidRPr="00184362" w:rsidRDefault="00184362" w:rsidP="00184362">
      <w:pPr>
        <w:rPr>
          <w:rFonts w:ascii="Arial" w:hAnsi="Arial" w:cs="Arial"/>
          <w:b/>
          <w:color w:val="000000"/>
        </w:rPr>
      </w:pPr>
    </w:p>
    <w:p w14:paraId="6F1DDF93" w14:textId="77777777" w:rsidR="00C70215" w:rsidRDefault="00C70215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6B5315D2" w14:textId="29E5C75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2B892E8" w14:textId="3E32A185" w:rsidR="00C70215" w:rsidRDefault="00C70215" w:rsidP="00704F12">
      <w:pPr>
        <w:spacing w:before="360"/>
        <w:jc w:val="both"/>
        <w:rPr>
          <w:rFonts w:ascii="Arial" w:hAnsi="Arial" w:cs="Arial"/>
          <w:color w:val="000000"/>
          <w:sz w:val="21"/>
          <w:szCs w:val="21"/>
        </w:rPr>
      </w:pPr>
      <w:r w:rsidRPr="00AB6E9B">
        <w:rPr>
          <w:rFonts w:ascii="Arial" w:hAnsi="Arial" w:cs="Arial"/>
          <w:b/>
          <w:color w:val="000000"/>
          <w:sz w:val="21"/>
          <w:szCs w:val="21"/>
        </w:rPr>
        <w:t>Figure 1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. The maximum-likelihood phylogenetic tree was inferred using Mega </w:t>
      </w:r>
      <w:r>
        <w:rPr>
          <w:rFonts w:ascii="Arial" w:hAnsi="Arial" w:cs="Arial"/>
          <w:color w:val="000000"/>
          <w:sz w:val="21"/>
          <w:szCs w:val="21"/>
        </w:rPr>
        <w:t>11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 and a multiple alignment of replication-associated proteins (REP) prepared using Muscle. Bootstrap values &gt;70% are shown. Tree branches are proportional to genetic distances between sequences, and the scale bars at the bottom indicat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351676">
        <w:rPr>
          <w:rFonts w:ascii="Arial" w:hAnsi="Arial" w:cs="Arial"/>
          <w:color w:val="000000"/>
          <w:sz w:val="21"/>
          <w:szCs w:val="21"/>
        </w:rPr>
        <w:t>s substitutions per amino acid.</w:t>
      </w:r>
      <w:r w:rsidR="00704F12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="00704F12" w:rsidRPr="0065675B">
        <w:rPr>
          <w:rFonts w:ascii="Arial" w:hAnsi="Arial" w:cs="Arial"/>
          <w:i/>
          <w:iCs/>
          <w:color w:val="000000"/>
          <w:sz w:val="21"/>
          <w:szCs w:val="21"/>
        </w:rPr>
        <w:t>Betaflexiviridae</w:t>
      </w:r>
      <w:proofErr w:type="spellEnd"/>
      <w:r w:rsidR="00704F12">
        <w:rPr>
          <w:rFonts w:ascii="Arial" w:hAnsi="Arial" w:cs="Arial"/>
          <w:color w:val="000000"/>
          <w:sz w:val="21"/>
          <w:szCs w:val="21"/>
        </w:rPr>
        <w:t xml:space="preserve"> representative member and all </w:t>
      </w:r>
      <w:proofErr w:type="spellStart"/>
      <w:r w:rsidR="00704F12" w:rsidRPr="0065675B">
        <w:rPr>
          <w:rFonts w:ascii="Arial" w:hAnsi="Arial" w:cs="Arial"/>
          <w:i/>
          <w:iCs/>
          <w:color w:val="000000"/>
          <w:sz w:val="21"/>
          <w:szCs w:val="21"/>
        </w:rPr>
        <w:t>Gammaflexiviridae</w:t>
      </w:r>
      <w:proofErr w:type="spellEnd"/>
      <w:r w:rsidR="00704F12">
        <w:rPr>
          <w:rFonts w:ascii="Arial" w:hAnsi="Arial" w:cs="Arial"/>
          <w:color w:val="000000"/>
          <w:sz w:val="21"/>
          <w:szCs w:val="21"/>
        </w:rPr>
        <w:t xml:space="preserve"> members were included for reference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. </w:t>
      </w:r>
      <w:r w:rsidR="00184362">
        <w:rPr>
          <w:rFonts w:ascii="Arial" w:hAnsi="Arial" w:cs="Arial"/>
          <w:color w:val="000000"/>
          <w:sz w:val="21"/>
          <w:szCs w:val="21"/>
        </w:rPr>
        <w:t>The proposed n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ovel species </w:t>
      </w:r>
      <w:r w:rsidR="00184362">
        <w:rPr>
          <w:rFonts w:ascii="Arial" w:hAnsi="Arial" w:cs="Arial"/>
          <w:color w:val="000000"/>
          <w:sz w:val="21"/>
          <w:szCs w:val="21"/>
        </w:rPr>
        <w:t>is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 indicated by a </w:t>
      </w:r>
      <w:r w:rsidR="00704F12">
        <w:rPr>
          <w:rFonts w:ascii="Arial" w:hAnsi="Arial" w:cs="Arial"/>
          <w:color w:val="000000"/>
          <w:sz w:val="21"/>
          <w:szCs w:val="21"/>
        </w:rPr>
        <w:t xml:space="preserve">black </w:t>
      </w:r>
      <w:r w:rsidRPr="00351676">
        <w:rPr>
          <w:rFonts w:ascii="Arial" w:hAnsi="Arial" w:cs="Arial"/>
          <w:color w:val="000000"/>
          <w:sz w:val="21"/>
          <w:szCs w:val="21"/>
        </w:rPr>
        <w:t>diamond.</w:t>
      </w:r>
    </w:p>
    <w:p w14:paraId="43E223C6" w14:textId="2871933A" w:rsidR="00C70215" w:rsidRDefault="00704F12" w:rsidP="00704F12">
      <w:pPr>
        <w:spacing w:before="120"/>
        <w:jc w:val="both"/>
        <w:rPr>
          <w:rFonts w:ascii="Arial" w:hAnsi="Arial" w:cs="Arial"/>
          <w:b/>
        </w:rPr>
      </w:pPr>
      <w:r>
        <w:rPr>
          <w:noProof/>
          <w:color w:val="000000"/>
          <w:sz w:val="21"/>
          <w:szCs w:val="21"/>
          <w:lang w:val="fr-FR" w:eastAsia="fr-FR"/>
        </w:rPr>
        <w:drawing>
          <wp:inline distT="0" distB="0" distL="0" distR="0" wp14:anchorId="70CC7C7F" wp14:editId="486BDCDC">
            <wp:extent cx="5992511" cy="66524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12" cy="6654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0215">
      <w:headerReference w:type="default" r:id="rId2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6308" w14:textId="77777777" w:rsidR="00E90E8D" w:rsidRDefault="00E90E8D">
      <w:r>
        <w:separator/>
      </w:r>
    </w:p>
  </w:endnote>
  <w:endnote w:type="continuationSeparator" w:id="0">
    <w:p w14:paraId="68A76D28" w14:textId="77777777" w:rsidR="00E90E8D" w:rsidRDefault="00E9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D516" w14:textId="77777777" w:rsidR="00E90E8D" w:rsidRDefault="00E90E8D">
      <w:r>
        <w:separator/>
      </w:r>
    </w:p>
  </w:footnote>
  <w:footnote w:type="continuationSeparator" w:id="0">
    <w:p w14:paraId="3B6FAF90" w14:textId="77777777" w:rsidR="00E90E8D" w:rsidRDefault="00E9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2EC1"/>
    <w:multiLevelType w:val="hybridMultilevel"/>
    <w:tmpl w:val="77A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BA0096"/>
    <w:multiLevelType w:val="hybridMultilevel"/>
    <w:tmpl w:val="59C8D0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7491205">
    <w:abstractNumId w:val="1"/>
  </w:num>
  <w:num w:numId="2" w16cid:durableId="1212376648">
    <w:abstractNumId w:val="3"/>
  </w:num>
  <w:num w:numId="3" w16cid:durableId="1270044048">
    <w:abstractNumId w:val="2"/>
  </w:num>
  <w:num w:numId="4" w16cid:durableId="2014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00DE3"/>
    <w:rsid w:val="000021AB"/>
    <w:rsid w:val="00035A87"/>
    <w:rsid w:val="00042E9C"/>
    <w:rsid w:val="00084189"/>
    <w:rsid w:val="000A146A"/>
    <w:rsid w:val="000F51F4"/>
    <w:rsid w:val="000F7067"/>
    <w:rsid w:val="0013113D"/>
    <w:rsid w:val="00184362"/>
    <w:rsid w:val="001A3D6C"/>
    <w:rsid w:val="001E4EDC"/>
    <w:rsid w:val="002A091C"/>
    <w:rsid w:val="0037243A"/>
    <w:rsid w:val="00380133"/>
    <w:rsid w:val="003F1BDC"/>
    <w:rsid w:val="0043110C"/>
    <w:rsid w:val="00437970"/>
    <w:rsid w:val="004F3196"/>
    <w:rsid w:val="00543F86"/>
    <w:rsid w:val="005A00E2"/>
    <w:rsid w:val="005A54C3"/>
    <w:rsid w:val="00613D14"/>
    <w:rsid w:val="00654314"/>
    <w:rsid w:val="0065675B"/>
    <w:rsid w:val="00671821"/>
    <w:rsid w:val="006C1121"/>
    <w:rsid w:val="00704F12"/>
    <w:rsid w:val="007A5209"/>
    <w:rsid w:val="007D6B08"/>
    <w:rsid w:val="008352C6"/>
    <w:rsid w:val="008815EE"/>
    <w:rsid w:val="008B44FE"/>
    <w:rsid w:val="00905C08"/>
    <w:rsid w:val="00A1518B"/>
    <w:rsid w:val="00A174CC"/>
    <w:rsid w:val="00A2357C"/>
    <w:rsid w:val="00A31B85"/>
    <w:rsid w:val="00A84617"/>
    <w:rsid w:val="00AD759B"/>
    <w:rsid w:val="00B35CC8"/>
    <w:rsid w:val="00B47589"/>
    <w:rsid w:val="00B95CD9"/>
    <w:rsid w:val="00BE2F71"/>
    <w:rsid w:val="00C70215"/>
    <w:rsid w:val="00C978C6"/>
    <w:rsid w:val="00DF4E40"/>
    <w:rsid w:val="00E034BE"/>
    <w:rsid w:val="00E14C7B"/>
    <w:rsid w:val="00E17E28"/>
    <w:rsid w:val="00E90E8D"/>
    <w:rsid w:val="00FB5D8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3D14"/>
    <w:pPr>
      <w:ind w:left="720"/>
      <w:contextualSpacing/>
    </w:pPr>
  </w:style>
  <w:style w:type="paragraph" w:styleId="Revision">
    <w:name w:val="Revision"/>
    <w:hidden/>
    <w:uiPriority w:val="99"/>
    <w:semiHidden/>
    <w:rsid w:val="00A31B8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.candresse@inrae.fr" TargetMode="External"/><Relationship Id="rId13" Type="http://schemas.openxmlformats.org/officeDocument/2006/relationships/hyperlink" Target="mailto:dimitre.mollov@usda.gov" TargetMode="External"/><Relationship Id="rId18" Type="http://schemas.openxmlformats.org/officeDocument/2006/relationships/hyperlink" Target="mailto:dvvillam@uark.ed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Fiona.Constable@ecodev.vic.gov.au" TargetMode="External"/><Relationship Id="rId17" Type="http://schemas.openxmlformats.org/officeDocument/2006/relationships/hyperlink" Target="mailto:itzaneta@uark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squale.saldarelli@ipsp.cnr.it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nkyon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abanadzovic@entomology.msstate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ngjicao@gmail.com" TargetMode="External"/><Relationship Id="rId19" Type="http://schemas.openxmlformats.org/officeDocument/2006/relationships/hyperlink" Target="https://doi.org/10.1007/s00705-023-05789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naud.blouin@agroscope.admin.ch" TargetMode="External"/><Relationship Id="rId14" Type="http://schemas.openxmlformats.org/officeDocument/2006/relationships/hyperlink" Target="mailto:tatsuya@unb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Sabanadzovic, Sead</cp:lastModifiedBy>
  <cp:revision>2</cp:revision>
  <dcterms:created xsi:type="dcterms:W3CDTF">2023-11-14T05:17:00Z</dcterms:created>
  <dcterms:modified xsi:type="dcterms:W3CDTF">2023-11-14T05:17:00Z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