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72808" w14:textId="77777777" w:rsidR="009E5D82" w:rsidRDefault="007B5EE9">
      <w:r>
        <w:rPr>
          <w:noProof/>
          <w:lang w:val="en-IE" w:eastAsia="en-IE"/>
        </w:rPr>
        <w:drawing>
          <wp:anchor distT="0" distB="0" distL="114300" distR="114300" simplePos="0" relativeHeight="7" behindDoc="0" locked="0" layoutInCell="0" allowOverlap="1" wp14:anchorId="7BCCBA40" wp14:editId="78121D03">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0"/>
                    <a:stretch>
                      <a:fillRect/>
                    </a:stretch>
                  </pic:blipFill>
                  <pic:spPr bwMode="auto">
                    <a:xfrm>
                      <a:off x="0" y="0"/>
                      <a:ext cx="1223010" cy="752475"/>
                    </a:xfrm>
                    <a:prstGeom prst="rect">
                      <a:avLst/>
                    </a:prstGeom>
                  </pic:spPr>
                </pic:pic>
              </a:graphicData>
            </a:graphic>
          </wp:anchor>
        </w:drawing>
      </w:r>
    </w:p>
    <w:p w14:paraId="13A7AE26" w14:textId="77777777" w:rsidR="009E5D82" w:rsidRDefault="009E5D82">
      <w:pPr>
        <w:rPr>
          <w:rFonts w:ascii="Arial" w:hAnsi="Arial" w:cs="Arial"/>
          <w:color w:val="0000FF"/>
          <w:sz w:val="20"/>
          <w:szCs w:val="20"/>
        </w:rPr>
      </w:pPr>
    </w:p>
    <w:p w14:paraId="22D0A95E" w14:textId="77777777" w:rsidR="009E5D82" w:rsidRDefault="009E5D82">
      <w:pPr>
        <w:rPr>
          <w:rFonts w:ascii="Arial" w:hAnsi="Arial" w:cs="Arial"/>
          <w:color w:val="0000FF"/>
          <w:sz w:val="20"/>
          <w:szCs w:val="20"/>
        </w:rPr>
      </w:pPr>
    </w:p>
    <w:p w14:paraId="39FE5284" w14:textId="77777777" w:rsidR="009E5D82" w:rsidRDefault="009E5D82">
      <w:pPr>
        <w:rPr>
          <w:rFonts w:ascii="Arial" w:hAnsi="Arial" w:cs="Arial"/>
          <w:color w:val="0000FF"/>
          <w:sz w:val="20"/>
          <w:szCs w:val="20"/>
        </w:rPr>
      </w:pPr>
    </w:p>
    <w:p w14:paraId="6CB063D9" w14:textId="77777777" w:rsidR="009E5D82" w:rsidRDefault="009E5D82">
      <w:pPr>
        <w:rPr>
          <w:rFonts w:ascii="Arial" w:hAnsi="Arial" w:cs="Arial"/>
          <w:color w:val="0000FF"/>
          <w:sz w:val="20"/>
          <w:szCs w:val="20"/>
        </w:rPr>
      </w:pPr>
    </w:p>
    <w:p w14:paraId="45F36A20" w14:textId="77777777" w:rsidR="009E5D82" w:rsidRDefault="009E5D82">
      <w:pPr>
        <w:rPr>
          <w:rFonts w:ascii="Arial" w:hAnsi="Arial" w:cs="Arial"/>
          <w:color w:val="0000FF"/>
          <w:sz w:val="20"/>
          <w:szCs w:val="20"/>
        </w:rPr>
      </w:pPr>
    </w:p>
    <w:p w14:paraId="263B35DA" w14:textId="77777777" w:rsidR="009E5D82" w:rsidRDefault="009E5D82">
      <w:pPr>
        <w:rPr>
          <w:rFonts w:ascii="Arial" w:hAnsi="Arial" w:cs="Arial"/>
          <w:color w:val="0000FF"/>
          <w:sz w:val="20"/>
          <w:szCs w:val="20"/>
        </w:rPr>
      </w:pPr>
    </w:p>
    <w:p w14:paraId="488DB912" w14:textId="77777777" w:rsidR="009E5D82" w:rsidRDefault="007B5EE9">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0001CF52" w14:textId="77777777" w:rsidR="009E5D82" w:rsidRDefault="009E5D82">
      <w:pPr>
        <w:rPr>
          <w:rFonts w:ascii="Arial" w:hAnsi="Arial" w:cs="Arial"/>
          <w:sz w:val="22"/>
          <w:szCs w:val="22"/>
          <w:lang w:val="en-GB"/>
        </w:rPr>
      </w:pPr>
    </w:p>
    <w:tbl>
      <w:tblPr>
        <w:tblW w:w="9072" w:type="dxa"/>
        <w:tblInd w:w="127" w:type="dxa"/>
        <w:tblLayout w:type="fixed"/>
        <w:tblLook w:val="04A0" w:firstRow="1" w:lastRow="0" w:firstColumn="1" w:lastColumn="0" w:noHBand="0" w:noVBand="1"/>
      </w:tblPr>
      <w:tblGrid>
        <w:gridCol w:w="3548"/>
        <w:gridCol w:w="4810"/>
        <w:gridCol w:w="714"/>
      </w:tblGrid>
      <w:tr w:rsidR="009E5D82" w14:paraId="1E2178AD" w14:textId="77777777">
        <w:tc>
          <w:tcPr>
            <w:tcW w:w="3548" w:type="dxa"/>
            <w:tcBorders>
              <w:top w:val="double" w:sz="4" w:space="0" w:color="000000"/>
              <w:left w:val="double" w:sz="4" w:space="0" w:color="000000"/>
              <w:right w:val="single" w:sz="4" w:space="0" w:color="000000"/>
            </w:tcBorders>
            <w:shd w:val="clear" w:color="auto" w:fill="auto"/>
            <w:vAlign w:val="center"/>
          </w:tcPr>
          <w:p w14:paraId="607B1FDB" w14:textId="77777777" w:rsidR="009E5D82" w:rsidRDefault="007B5EE9">
            <w:pPr>
              <w:pStyle w:val="BodyTextIndent"/>
              <w:widowControl w:val="0"/>
              <w:ind w:left="0" w:firstLine="0"/>
              <w:rPr>
                <w:rFonts w:ascii="Arial" w:hAnsi="Arial" w:cs="Arial"/>
                <w:b/>
                <w:i/>
                <w:sz w:val="36"/>
                <w:szCs w:val="36"/>
              </w:rPr>
            </w:pPr>
            <w:r>
              <w:rPr>
                <w:rFonts w:ascii="Arial" w:hAnsi="Arial" w:cs="Arial"/>
                <w:b/>
                <w:szCs w:val="24"/>
              </w:rPr>
              <w:t>Code assigned:</w:t>
            </w:r>
          </w:p>
        </w:tc>
        <w:tc>
          <w:tcPr>
            <w:tcW w:w="4810" w:type="dxa"/>
            <w:tcBorders>
              <w:top w:val="double" w:sz="4" w:space="0" w:color="000000"/>
              <w:left w:val="single" w:sz="4" w:space="0" w:color="000000"/>
              <w:bottom w:val="single" w:sz="4" w:space="0" w:color="000000"/>
              <w:right w:val="single" w:sz="4" w:space="0" w:color="000000"/>
            </w:tcBorders>
            <w:shd w:val="clear" w:color="auto" w:fill="auto"/>
          </w:tcPr>
          <w:p w14:paraId="6E81EEB2" w14:textId="163003A5" w:rsidR="009E5D82" w:rsidRDefault="00AD76AD">
            <w:pPr>
              <w:pStyle w:val="BodyTextIndent"/>
              <w:widowControl w:val="0"/>
              <w:ind w:left="0" w:firstLine="0"/>
              <w:jc w:val="center"/>
              <w:rPr>
                <w:rFonts w:ascii="Arial" w:hAnsi="Arial" w:cs="Arial"/>
                <w:b/>
                <w:bCs/>
                <w:i/>
                <w:sz w:val="28"/>
                <w:szCs w:val="28"/>
              </w:rPr>
            </w:pPr>
            <w:r>
              <w:rPr>
                <w:rFonts w:ascii="Arial" w:hAnsi="Arial" w:cs="Arial"/>
                <w:b/>
                <w:bCs/>
                <w:i/>
                <w:sz w:val="28"/>
                <w:szCs w:val="28"/>
              </w:rPr>
              <w:t>2023.048B</w:t>
            </w:r>
          </w:p>
        </w:tc>
        <w:tc>
          <w:tcPr>
            <w:tcW w:w="714" w:type="dxa"/>
            <w:tcBorders>
              <w:top w:val="double" w:sz="4" w:space="0" w:color="000000"/>
              <w:left w:val="single" w:sz="4" w:space="0" w:color="000000"/>
              <w:right w:val="double" w:sz="4" w:space="0" w:color="000000"/>
            </w:tcBorders>
            <w:shd w:val="clear" w:color="auto" w:fill="auto"/>
            <w:vAlign w:val="center"/>
          </w:tcPr>
          <w:p w14:paraId="09AF1E13" w14:textId="77777777" w:rsidR="009E5D82" w:rsidRDefault="009E5D82">
            <w:pPr>
              <w:pStyle w:val="BodyTextIndent"/>
              <w:widowControl w:val="0"/>
              <w:ind w:left="0" w:firstLine="0"/>
              <w:rPr>
                <w:rFonts w:ascii="Arial" w:hAnsi="Arial" w:cs="Arial"/>
              </w:rPr>
            </w:pPr>
          </w:p>
        </w:tc>
      </w:tr>
      <w:tr w:rsidR="009E5D82" w14:paraId="752D9086" w14:textId="77777777">
        <w:tc>
          <w:tcPr>
            <w:tcW w:w="9072" w:type="dxa"/>
            <w:gridSpan w:val="3"/>
            <w:tcBorders>
              <w:left w:val="double" w:sz="4" w:space="0" w:color="000000"/>
              <w:right w:val="double" w:sz="4" w:space="0" w:color="000000"/>
            </w:tcBorders>
            <w:shd w:val="clear" w:color="auto" w:fill="auto"/>
          </w:tcPr>
          <w:p w14:paraId="051F3A0D" w14:textId="735DD6AC" w:rsidR="009E5D82" w:rsidRDefault="008830D1">
            <w:pPr>
              <w:widowControl w:val="0"/>
              <w:spacing w:before="120"/>
              <w:rPr>
                <w:rFonts w:ascii="Arial" w:hAnsi="Arial" w:cs="Arial"/>
                <w:b/>
              </w:rPr>
            </w:pPr>
            <w:r>
              <w:rPr>
                <w:rFonts w:ascii="Arial" w:hAnsi="Arial" w:cs="Arial"/>
                <w:b/>
                <w:bCs/>
                <w:sz w:val="22"/>
                <w:szCs w:val="22"/>
              </w:rPr>
              <w:t>Short title:</w:t>
            </w:r>
            <w:r>
              <w:rPr>
                <w:rFonts w:ascii="Arial" w:hAnsi="Arial" w:cs="Arial"/>
                <w:bCs/>
                <w:sz w:val="22"/>
                <w:szCs w:val="22"/>
              </w:rPr>
              <w:t xml:space="preserve"> </w:t>
            </w:r>
            <w:r w:rsidR="007B5EE9">
              <w:rPr>
                <w:rFonts w:ascii="Arial" w:eastAsia="Arial" w:hAnsi="Arial" w:cs="Arial"/>
              </w:rPr>
              <w:t>Create one new subfamily (</w:t>
            </w:r>
            <w:r w:rsidR="00B85692" w:rsidRPr="00B85692">
              <w:rPr>
                <w:rFonts w:ascii="Arial" w:hAnsi="Arial" w:cs="Arial"/>
                <w:i/>
                <w:color w:val="000000"/>
                <w:shd w:val="clear" w:color="auto" w:fill="FFFFFF"/>
              </w:rPr>
              <w:t>Munstervir</w:t>
            </w:r>
            <w:r w:rsidR="00AD76AD">
              <w:rPr>
                <w:rFonts w:ascii="Arial" w:hAnsi="Arial" w:cs="Arial"/>
                <w:i/>
                <w:color w:val="000000"/>
                <w:shd w:val="clear" w:color="auto" w:fill="FFFFFF"/>
              </w:rPr>
              <w:t>i</w:t>
            </w:r>
            <w:r w:rsidR="00B85692" w:rsidRPr="00B85692">
              <w:rPr>
                <w:rFonts w:ascii="Arial" w:hAnsi="Arial" w:cs="Arial"/>
                <w:i/>
                <w:color w:val="000000"/>
                <w:shd w:val="clear" w:color="auto" w:fill="FFFFFF"/>
              </w:rPr>
              <w:t>nae</w:t>
            </w:r>
            <w:r w:rsidR="007B5EE9">
              <w:rPr>
                <w:rFonts w:ascii="Arial" w:eastAsia="Arial" w:hAnsi="Arial" w:cs="Arial"/>
              </w:rPr>
              <w:t xml:space="preserve">) including four new genera </w:t>
            </w:r>
            <w:r w:rsidR="00E315B0">
              <w:rPr>
                <w:rFonts w:ascii="Arial" w:eastAsia="Arial" w:hAnsi="Arial" w:cs="Arial"/>
              </w:rPr>
              <w:t xml:space="preserve">within the class </w:t>
            </w:r>
            <w:r w:rsidR="007B5EE9">
              <w:rPr>
                <w:rFonts w:ascii="Arial" w:eastAsia="Arial" w:hAnsi="Arial" w:cs="Arial"/>
                <w:i/>
              </w:rPr>
              <w:t>Caudoviricetes</w:t>
            </w:r>
          </w:p>
          <w:p w14:paraId="1A02B6DA" w14:textId="77777777" w:rsidR="009E5D82" w:rsidRDefault="009E5D82">
            <w:pPr>
              <w:widowControl w:val="0"/>
              <w:spacing w:before="120"/>
              <w:rPr>
                <w:rFonts w:ascii="Arial" w:hAnsi="Arial" w:cs="Arial"/>
                <w:b/>
              </w:rPr>
            </w:pPr>
          </w:p>
        </w:tc>
      </w:tr>
      <w:tr w:rsidR="009E5D82" w14:paraId="72CE0905"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700E61E2" w14:textId="77777777" w:rsidR="009E5D82" w:rsidRDefault="009E5D82">
            <w:pPr>
              <w:widowControl w:val="0"/>
              <w:rPr>
                <w:rFonts w:ascii="Arial" w:hAnsi="Arial" w:cs="Arial"/>
                <w:b/>
                <w:sz w:val="22"/>
                <w:szCs w:val="22"/>
              </w:rPr>
            </w:pPr>
          </w:p>
        </w:tc>
      </w:tr>
    </w:tbl>
    <w:p w14:paraId="653CF0A3" w14:textId="77777777" w:rsidR="009E5D82" w:rsidRDefault="007B5EE9">
      <w:pPr>
        <w:spacing w:before="120" w:after="120"/>
        <w:rPr>
          <w:rFonts w:ascii="Arial" w:hAnsi="Arial" w:cs="Arial"/>
          <w:b/>
        </w:rPr>
      </w:pPr>
      <w:r>
        <w:rPr>
          <w:rFonts w:ascii="Arial" w:hAnsi="Arial" w:cs="Arial"/>
          <w:b/>
        </w:rPr>
        <w:t>Author(s) and email address(es)</w:t>
      </w:r>
    </w:p>
    <w:tbl>
      <w:tblPr>
        <w:tblStyle w:val="TableGrid"/>
        <w:tblW w:w="9072" w:type="dxa"/>
        <w:tblInd w:w="137" w:type="dxa"/>
        <w:tblLayout w:type="fixed"/>
        <w:tblLook w:val="04A0" w:firstRow="1" w:lastRow="0" w:firstColumn="1" w:lastColumn="0" w:noHBand="0" w:noVBand="1"/>
      </w:tblPr>
      <w:tblGrid>
        <w:gridCol w:w="4368"/>
        <w:gridCol w:w="4704"/>
      </w:tblGrid>
      <w:tr w:rsidR="009E5D82" w14:paraId="64D8E4E9" w14:textId="77777777" w:rsidTr="00A00FA7">
        <w:tc>
          <w:tcPr>
            <w:tcW w:w="4368" w:type="dxa"/>
            <w:shd w:val="clear" w:color="auto" w:fill="auto"/>
          </w:tcPr>
          <w:p w14:paraId="6DE885BD" w14:textId="77777777" w:rsidR="009E5D82" w:rsidRDefault="007B5EE9">
            <w:pPr>
              <w:widowControl w:val="0"/>
              <w:rPr>
                <w:rFonts w:ascii="Arial" w:hAnsi="Arial" w:cs="Arial"/>
                <w:sz w:val="22"/>
                <w:szCs w:val="22"/>
              </w:rPr>
            </w:pPr>
            <w:r>
              <w:rPr>
                <w:rFonts w:ascii="Arial" w:hAnsi="Arial" w:cs="Arial"/>
                <w:sz w:val="22"/>
                <w:szCs w:val="22"/>
              </w:rPr>
              <w:t>Buttim</w:t>
            </w:r>
            <w:r w:rsidR="00D77B71">
              <w:rPr>
                <w:rFonts w:ascii="Arial" w:hAnsi="Arial" w:cs="Arial"/>
                <w:sz w:val="22"/>
                <w:szCs w:val="22"/>
              </w:rPr>
              <w:t>er C, Shkoporov A, Kropinski A</w:t>
            </w:r>
            <w:r>
              <w:rPr>
                <w:rFonts w:ascii="Arial" w:hAnsi="Arial" w:cs="Arial"/>
                <w:sz w:val="22"/>
                <w:szCs w:val="22"/>
              </w:rPr>
              <w:t>, Turner D, Draper L-A, Ross R-P, Hill C</w:t>
            </w:r>
          </w:p>
          <w:p w14:paraId="0C5F8C6A" w14:textId="77777777" w:rsidR="009E5D82" w:rsidRDefault="009E5D82">
            <w:pPr>
              <w:widowControl w:val="0"/>
              <w:rPr>
                <w:rFonts w:ascii="Arial" w:hAnsi="Arial" w:cs="Arial"/>
                <w:sz w:val="22"/>
                <w:szCs w:val="22"/>
              </w:rPr>
            </w:pPr>
          </w:p>
          <w:p w14:paraId="0B75DB3C" w14:textId="77777777" w:rsidR="009E5D82" w:rsidRDefault="009E5D82">
            <w:pPr>
              <w:widowControl w:val="0"/>
              <w:rPr>
                <w:rFonts w:ascii="Arial" w:hAnsi="Arial" w:cs="Arial"/>
                <w:sz w:val="22"/>
                <w:szCs w:val="22"/>
              </w:rPr>
            </w:pPr>
          </w:p>
          <w:p w14:paraId="43684F09" w14:textId="77777777" w:rsidR="009E5D82" w:rsidRDefault="009E5D82">
            <w:pPr>
              <w:widowControl w:val="0"/>
              <w:rPr>
                <w:rFonts w:ascii="Arial" w:hAnsi="Arial" w:cs="Arial"/>
                <w:sz w:val="22"/>
                <w:szCs w:val="22"/>
              </w:rPr>
            </w:pPr>
          </w:p>
        </w:tc>
        <w:tc>
          <w:tcPr>
            <w:tcW w:w="4704" w:type="dxa"/>
            <w:shd w:val="clear" w:color="auto" w:fill="auto"/>
          </w:tcPr>
          <w:p w14:paraId="13ACD5A1" w14:textId="77777777" w:rsidR="009E5D82" w:rsidRDefault="007B5EE9">
            <w:pPr>
              <w:widowControl w:val="0"/>
              <w:rPr>
                <w:rFonts w:ascii="Arial" w:hAnsi="Arial" w:cs="Arial"/>
                <w:sz w:val="22"/>
                <w:szCs w:val="22"/>
              </w:rPr>
            </w:pPr>
            <w:r>
              <w:rPr>
                <w:rFonts w:ascii="Arial" w:hAnsi="Arial" w:cs="Arial"/>
                <w:sz w:val="22"/>
                <w:szCs w:val="22"/>
              </w:rPr>
              <w:t>colin.buttimer@ucc.ie; andrey.shkoporov@ucc.ie; phage.canada@gmail.com; Dann2.Turner@uwe.ac.uk; l.draper@ucc.ie, p.ross@ucc.ie; c.hill@ucc.ie</w:t>
            </w:r>
          </w:p>
          <w:p w14:paraId="688C2E4B" w14:textId="77777777" w:rsidR="009E5D82" w:rsidRDefault="009E5D82">
            <w:pPr>
              <w:widowControl w:val="0"/>
              <w:rPr>
                <w:rFonts w:ascii="Arial" w:hAnsi="Arial" w:cs="Arial"/>
                <w:sz w:val="22"/>
                <w:szCs w:val="22"/>
                <w:u w:val="single"/>
              </w:rPr>
            </w:pPr>
          </w:p>
        </w:tc>
      </w:tr>
    </w:tbl>
    <w:p w14:paraId="6FD2AD89" w14:textId="77777777" w:rsidR="009E5D82" w:rsidRDefault="007B5EE9">
      <w:pPr>
        <w:spacing w:before="120" w:after="120"/>
        <w:rPr>
          <w:rFonts w:ascii="Arial" w:hAnsi="Arial" w:cs="Arial"/>
          <w:color w:val="0000FF"/>
          <w:sz w:val="20"/>
          <w:szCs w:val="20"/>
        </w:rPr>
      </w:pPr>
      <w:r>
        <w:rPr>
          <w:rFonts w:ascii="Arial" w:hAnsi="Arial" w:cs="Arial"/>
          <w:b/>
        </w:rPr>
        <w:t>Author(s) institutional address(es) (optional)</w:t>
      </w:r>
    </w:p>
    <w:p w14:paraId="00585A62" w14:textId="77777777" w:rsidR="009E5D82" w:rsidRDefault="009E5D82">
      <w:pPr>
        <w:spacing w:before="120" w:after="120"/>
        <w:rPr>
          <w:rFonts w:ascii="Arial" w:hAnsi="Arial" w:cs="Arial"/>
          <w:b/>
        </w:rPr>
      </w:pPr>
    </w:p>
    <w:tbl>
      <w:tblPr>
        <w:tblStyle w:val="TableGrid"/>
        <w:tblW w:w="9072" w:type="dxa"/>
        <w:tblInd w:w="137" w:type="dxa"/>
        <w:tblLayout w:type="fixed"/>
        <w:tblLook w:val="04A0" w:firstRow="1" w:lastRow="0" w:firstColumn="1" w:lastColumn="0" w:noHBand="0" w:noVBand="1"/>
      </w:tblPr>
      <w:tblGrid>
        <w:gridCol w:w="9072"/>
      </w:tblGrid>
      <w:tr w:rsidR="009E5D82" w14:paraId="2AEFCE9A" w14:textId="77777777">
        <w:tc>
          <w:tcPr>
            <w:tcW w:w="9072" w:type="dxa"/>
            <w:shd w:val="clear" w:color="auto" w:fill="auto"/>
          </w:tcPr>
          <w:p w14:paraId="58900D95" w14:textId="77777777" w:rsidR="009E5D82" w:rsidRDefault="007B5EE9">
            <w:pPr>
              <w:widowControl w:val="0"/>
              <w:rPr>
                <w:rFonts w:ascii="Arial" w:hAnsi="Arial" w:cs="Arial"/>
                <w:sz w:val="20"/>
                <w:szCs w:val="20"/>
              </w:rPr>
            </w:pPr>
            <w:r>
              <w:rPr>
                <w:rFonts w:ascii="Arial" w:hAnsi="Arial" w:cs="Arial"/>
                <w:sz w:val="20"/>
                <w:szCs w:val="20"/>
              </w:rPr>
              <w:t xml:space="preserve">APC Microbiome Ireland &amp; School of Microbiology, University College Cork, College Road, Cork, Ireland [CB, </w:t>
            </w:r>
            <w:r w:rsidR="00B85692">
              <w:rPr>
                <w:rFonts w:ascii="Arial" w:hAnsi="Arial" w:cs="Arial"/>
                <w:sz w:val="20"/>
                <w:szCs w:val="20"/>
              </w:rPr>
              <w:t>AS</w:t>
            </w:r>
            <w:r>
              <w:rPr>
                <w:rFonts w:ascii="Arial" w:hAnsi="Arial" w:cs="Arial"/>
                <w:sz w:val="20"/>
                <w:szCs w:val="20"/>
              </w:rPr>
              <w:t xml:space="preserve">, RPR, CH] </w:t>
            </w:r>
          </w:p>
          <w:p w14:paraId="2965FEE0" w14:textId="77777777" w:rsidR="009E5D82" w:rsidRDefault="007B5EE9">
            <w:pPr>
              <w:widowControl w:val="0"/>
              <w:rPr>
                <w:rFonts w:ascii="Arial" w:hAnsi="Arial" w:cs="Arial"/>
                <w:sz w:val="20"/>
                <w:szCs w:val="20"/>
              </w:rPr>
            </w:pPr>
            <w:r>
              <w:rPr>
                <w:rFonts w:ascii="Arial" w:hAnsi="Arial" w:cs="Arial"/>
                <w:sz w:val="20"/>
                <w:szCs w:val="20"/>
              </w:rPr>
              <w:t>Department of Pathobiology, University of Guelph, Guelph, Ontario, Canada [AK]</w:t>
            </w:r>
          </w:p>
          <w:p w14:paraId="10EBDA23" w14:textId="4B088A43" w:rsidR="009E5D82" w:rsidRPr="00AD76AD" w:rsidRDefault="007B5EE9" w:rsidP="00AD76AD">
            <w:pPr>
              <w:widowControl w:val="0"/>
              <w:rPr>
                <w:rFonts w:ascii="Arial" w:hAnsi="Arial" w:cs="Arial"/>
                <w:sz w:val="20"/>
                <w:szCs w:val="20"/>
              </w:rPr>
            </w:pPr>
            <w:r>
              <w:rPr>
                <w:rFonts w:ascii="Arial" w:hAnsi="Arial" w:cs="Arial"/>
                <w:sz w:val="20"/>
                <w:szCs w:val="20"/>
              </w:rPr>
              <w:t>Department of Applied Sciences, University of the West of England, Bristol, UK [DT]</w:t>
            </w:r>
          </w:p>
          <w:p w14:paraId="431C2CCF" w14:textId="77777777" w:rsidR="009E5D82" w:rsidRDefault="009E5D82">
            <w:pPr>
              <w:widowControl w:val="0"/>
              <w:rPr>
                <w:rFonts w:ascii="Arial" w:hAnsi="Arial" w:cs="Arial"/>
                <w:sz w:val="22"/>
                <w:szCs w:val="22"/>
              </w:rPr>
            </w:pPr>
          </w:p>
        </w:tc>
      </w:tr>
    </w:tbl>
    <w:p w14:paraId="4CD5B5C6" w14:textId="77777777" w:rsidR="009E5D82" w:rsidRDefault="007B5EE9">
      <w:pPr>
        <w:spacing w:before="120" w:after="120"/>
        <w:rPr>
          <w:rFonts w:ascii="Arial" w:hAnsi="Arial" w:cs="Arial"/>
          <w:b/>
        </w:rPr>
      </w:pPr>
      <w:r>
        <w:rPr>
          <w:rFonts w:ascii="Arial" w:hAnsi="Arial" w:cs="Arial"/>
          <w:b/>
        </w:rPr>
        <w:t>Corresponding author</w:t>
      </w:r>
    </w:p>
    <w:tbl>
      <w:tblPr>
        <w:tblStyle w:val="TableGrid"/>
        <w:tblW w:w="9072" w:type="dxa"/>
        <w:tblInd w:w="137" w:type="dxa"/>
        <w:tblLayout w:type="fixed"/>
        <w:tblLook w:val="04A0" w:firstRow="1" w:lastRow="0" w:firstColumn="1" w:lastColumn="0" w:noHBand="0" w:noVBand="1"/>
      </w:tblPr>
      <w:tblGrid>
        <w:gridCol w:w="9072"/>
      </w:tblGrid>
      <w:tr w:rsidR="009E5D82" w14:paraId="6DBE5122" w14:textId="77777777">
        <w:tc>
          <w:tcPr>
            <w:tcW w:w="9072" w:type="dxa"/>
            <w:shd w:val="clear" w:color="auto" w:fill="auto"/>
          </w:tcPr>
          <w:p w14:paraId="3DAB3FE0" w14:textId="77777777" w:rsidR="009E5D82" w:rsidRDefault="007B5EE9">
            <w:pPr>
              <w:widowControl w:val="0"/>
              <w:rPr>
                <w:rFonts w:ascii="Arial" w:hAnsi="Arial" w:cs="Arial"/>
                <w:sz w:val="22"/>
                <w:szCs w:val="22"/>
              </w:rPr>
            </w:pPr>
            <w:r>
              <w:rPr>
                <w:rFonts w:ascii="Arial" w:hAnsi="Arial" w:cs="Arial"/>
                <w:sz w:val="22"/>
                <w:szCs w:val="22"/>
              </w:rPr>
              <w:t>C. Buttimer</w:t>
            </w:r>
          </w:p>
        </w:tc>
      </w:tr>
    </w:tbl>
    <w:p w14:paraId="393B809C" w14:textId="77777777" w:rsidR="009E5D82" w:rsidRPr="00A00FA7" w:rsidRDefault="007B5EE9" w:rsidP="00A00FA7">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ayout w:type="fixed"/>
        <w:tblLook w:val="04A0" w:firstRow="1" w:lastRow="0" w:firstColumn="1" w:lastColumn="0" w:noHBand="0" w:noVBand="1"/>
      </w:tblPr>
      <w:tblGrid>
        <w:gridCol w:w="9072"/>
      </w:tblGrid>
      <w:tr w:rsidR="009E5D82" w14:paraId="40527903" w14:textId="77777777">
        <w:tc>
          <w:tcPr>
            <w:tcW w:w="9072" w:type="dxa"/>
            <w:shd w:val="clear" w:color="auto" w:fill="auto"/>
          </w:tcPr>
          <w:p w14:paraId="3AC1B2DE" w14:textId="77777777" w:rsidR="009E5D82" w:rsidRDefault="009E5D82">
            <w:pPr>
              <w:widowControl w:val="0"/>
              <w:rPr>
                <w:rFonts w:ascii="Arial" w:hAnsi="Arial" w:cs="Arial"/>
                <w:sz w:val="22"/>
                <w:szCs w:val="22"/>
              </w:rPr>
            </w:pPr>
          </w:p>
          <w:p w14:paraId="455183E2" w14:textId="77777777" w:rsidR="009E5D82" w:rsidRDefault="009E5D82">
            <w:pPr>
              <w:widowControl w:val="0"/>
              <w:rPr>
                <w:rFonts w:ascii="Arial" w:hAnsi="Arial" w:cs="Arial"/>
                <w:sz w:val="22"/>
                <w:szCs w:val="22"/>
              </w:rPr>
            </w:pPr>
          </w:p>
          <w:p w14:paraId="0590C75C" w14:textId="505F82C4" w:rsidR="00AD76AD" w:rsidRDefault="00AD76AD">
            <w:pPr>
              <w:widowControl w:val="0"/>
              <w:rPr>
                <w:rFonts w:ascii="Arial" w:hAnsi="Arial" w:cs="Arial"/>
                <w:sz w:val="22"/>
                <w:szCs w:val="22"/>
              </w:rPr>
            </w:pPr>
          </w:p>
          <w:p w14:paraId="633D437A" w14:textId="77777777" w:rsidR="009E5D82" w:rsidRDefault="009E5D82">
            <w:pPr>
              <w:widowControl w:val="0"/>
              <w:rPr>
                <w:rFonts w:ascii="Arial" w:hAnsi="Arial" w:cs="Arial"/>
                <w:sz w:val="22"/>
                <w:szCs w:val="22"/>
              </w:rPr>
            </w:pPr>
          </w:p>
        </w:tc>
      </w:tr>
    </w:tbl>
    <w:p w14:paraId="36F92BD3" w14:textId="77777777" w:rsidR="009E5D82" w:rsidRDefault="007B5EE9">
      <w:pPr>
        <w:spacing w:before="120" w:after="120"/>
        <w:rPr>
          <w:rFonts w:ascii="Arial" w:hAnsi="Arial" w:cs="Arial"/>
          <w:b/>
        </w:rPr>
      </w:pPr>
      <w:r>
        <w:rPr>
          <w:rFonts w:ascii="Arial" w:hAnsi="Arial" w:cs="Arial"/>
          <w:b/>
        </w:rPr>
        <w:t>ICTV Study Group comments and response of proposer</w:t>
      </w:r>
    </w:p>
    <w:p w14:paraId="10131F4A" w14:textId="77777777" w:rsidR="009E5D82" w:rsidRDefault="009E5D82">
      <w:pPr>
        <w:rPr>
          <w:rFonts w:ascii="Arial" w:hAnsi="Arial" w:cs="Arial"/>
          <w:color w:val="0000FF"/>
          <w:sz w:val="20"/>
          <w:szCs w:val="20"/>
        </w:rPr>
      </w:pPr>
    </w:p>
    <w:tbl>
      <w:tblPr>
        <w:tblStyle w:val="TableGrid"/>
        <w:tblW w:w="9072" w:type="dxa"/>
        <w:tblInd w:w="137" w:type="dxa"/>
        <w:tblLayout w:type="fixed"/>
        <w:tblLook w:val="04A0" w:firstRow="1" w:lastRow="0" w:firstColumn="1" w:lastColumn="0" w:noHBand="0" w:noVBand="1"/>
      </w:tblPr>
      <w:tblGrid>
        <w:gridCol w:w="9072"/>
      </w:tblGrid>
      <w:tr w:rsidR="009E5D82" w14:paraId="7B1F3CBE" w14:textId="77777777">
        <w:tc>
          <w:tcPr>
            <w:tcW w:w="9072" w:type="dxa"/>
            <w:shd w:val="clear" w:color="auto" w:fill="auto"/>
          </w:tcPr>
          <w:p w14:paraId="48A400FF" w14:textId="77777777" w:rsidR="009E5D82" w:rsidRDefault="009E5D82">
            <w:pPr>
              <w:widowControl w:val="0"/>
              <w:rPr>
                <w:rFonts w:ascii="Arial" w:hAnsi="Arial" w:cs="Arial"/>
                <w:sz w:val="22"/>
                <w:szCs w:val="22"/>
              </w:rPr>
            </w:pPr>
          </w:p>
          <w:p w14:paraId="23786AED" w14:textId="77777777" w:rsidR="009E5D82" w:rsidRDefault="009E5D82">
            <w:pPr>
              <w:widowControl w:val="0"/>
              <w:rPr>
                <w:rFonts w:ascii="Arial" w:hAnsi="Arial" w:cs="Arial"/>
                <w:sz w:val="22"/>
                <w:szCs w:val="22"/>
              </w:rPr>
            </w:pPr>
          </w:p>
          <w:p w14:paraId="5DAAC39D" w14:textId="77777777" w:rsidR="009E5D82" w:rsidRDefault="009E5D82">
            <w:pPr>
              <w:widowControl w:val="0"/>
              <w:rPr>
                <w:rFonts w:ascii="Arial" w:hAnsi="Arial" w:cs="Arial"/>
                <w:sz w:val="22"/>
                <w:szCs w:val="22"/>
              </w:rPr>
            </w:pPr>
          </w:p>
        </w:tc>
      </w:tr>
    </w:tbl>
    <w:p w14:paraId="786A35A3" w14:textId="77777777" w:rsidR="009E5D82" w:rsidRDefault="007B5EE9">
      <w:pPr>
        <w:spacing w:before="120" w:after="120"/>
        <w:rPr>
          <w:rFonts w:ascii="Arial" w:hAnsi="Arial" w:cs="Arial"/>
          <w:b/>
        </w:rPr>
      </w:pPr>
      <w:r>
        <w:rPr>
          <w:rFonts w:ascii="Arial" w:hAnsi="Arial" w:cs="Arial"/>
          <w:b/>
        </w:rPr>
        <w:t>ICTV Study Group votes on proposal</w:t>
      </w:r>
    </w:p>
    <w:p w14:paraId="1D98AEB8" w14:textId="77777777" w:rsidR="009E5D82" w:rsidRDefault="009E5D82">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9"/>
        <w:gridCol w:w="1982"/>
        <w:gridCol w:w="1987"/>
        <w:gridCol w:w="2124"/>
      </w:tblGrid>
      <w:tr w:rsidR="009E5D82" w14:paraId="7414E664" w14:textId="77777777">
        <w:tc>
          <w:tcPr>
            <w:tcW w:w="2978" w:type="dxa"/>
            <w:vMerge w:val="restart"/>
            <w:shd w:val="clear" w:color="auto" w:fill="auto"/>
          </w:tcPr>
          <w:p w14:paraId="0573901B" w14:textId="77777777" w:rsidR="009E5D82" w:rsidRDefault="007B5EE9">
            <w:pPr>
              <w:widowControl w:val="0"/>
              <w:rPr>
                <w:rFonts w:ascii="Arial" w:hAnsi="Arial" w:cs="Arial"/>
                <w:b/>
                <w:bCs/>
                <w:color w:val="000000"/>
                <w:sz w:val="22"/>
                <w:szCs w:val="22"/>
              </w:rPr>
            </w:pPr>
            <w:r>
              <w:rPr>
                <w:rFonts w:ascii="Arial" w:hAnsi="Arial" w:cs="Arial"/>
                <w:b/>
                <w:bCs/>
                <w:color w:val="000000"/>
                <w:sz w:val="22"/>
                <w:szCs w:val="22"/>
              </w:rPr>
              <w:t>Study Group</w:t>
            </w:r>
          </w:p>
        </w:tc>
        <w:tc>
          <w:tcPr>
            <w:tcW w:w="6093" w:type="dxa"/>
            <w:gridSpan w:val="3"/>
            <w:shd w:val="clear" w:color="auto" w:fill="auto"/>
          </w:tcPr>
          <w:p w14:paraId="3D6C0552" w14:textId="77777777" w:rsidR="009E5D82" w:rsidRDefault="007B5EE9">
            <w:pPr>
              <w:widowControl w:val="0"/>
              <w:jc w:val="center"/>
              <w:rPr>
                <w:rFonts w:ascii="Arial" w:hAnsi="Arial" w:cs="Arial"/>
                <w:b/>
                <w:bCs/>
                <w:color w:val="000000"/>
                <w:sz w:val="22"/>
                <w:szCs w:val="22"/>
              </w:rPr>
            </w:pPr>
            <w:r>
              <w:rPr>
                <w:rFonts w:ascii="Arial" w:hAnsi="Arial" w:cs="Arial"/>
                <w:b/>
                <w:bCs/>
                <w:color w:val="000000"/>
                <w:sz w:val="22"/>
                <w:szCs w:val="22"/>
              </w:rPr>
              <w:t>Number of members</w:t>
            </w:r>
          </w:p>
        </w:tc>
      </w:tr>
      <w:tr w:rsidR="009E5D82" w14:paraId="22F101D5" w14:textId="77777777">
        <w:tc>
          <w:tcPr>
            <w:tcW w:w="2978" w:type="dxa"/>
            <w:vMerge/>
            <w:shd w:val="clear" w:color="auto" w:fill="auto"/>
          </w:tcPr>
          <w:p w14:paraId="60D76EBB" w14:textId="77777777" w:rsidR="009E5D82" w:rsidRDefault="009E5D82">
            <w:pPr>
              <w:widowControl w:val="0"/>
              <w:rPr>
                <w:rFonts w:ascii="Arial" w:hAnsi="Arial" w:cs="Arial"/>
                <w:sz w:val="22"/>
                <w:szCs w:val="22"/>
              </w:rPr>
            </w:pPr>
          </w:p>
        </w:tc>
        <w:tc>
          <w:tcPr>
            <w:tcW w:w="1982" w:type="dxa"/>
            <w:shd w:val="clear" w:color="auto" w:fill="auto"/>
          </w:tcPr>
          <w:p w14:paraId="43BFE50F" w14:textId="77777777" w:rsidR="009E5D82" w:rsidRDefault="007B5EE9">
            <w:pPr>
              <w:widowControl w:val="0"/>
              <w:jc w:val="center"/>
              <w:rPr>
                <w:rFonts w:ascii="Arial" w:hAnsi="Arial" w:cs="Arial"/>
                <w:b/>
                <w:bCs/>
                <w:sz w:val="22"/>
                <w:szCs w:val="22"/>
              </w:rPr>
            </w:pPr>
            <w:r>
              <w:rPr>
                <w:rFonts w:ascii="Arial" w:hAnsi="Arial" w:cs="Arial"/>
                <w:b/>
                <w:bCs/>
                <w:sz w:val="22"/>
                <w:szCs w:val="22"/>
              </w:rPr>
              <w:t>Votes support</w:t>
            </w:r>
          </w:p>
        </w:tc>
        <w:tc>
          <w:tcPr>
            <w:tcW w:w="1987" w:type="dxa"/>
            <w:shd w:val="clear" w:color="auto" w:fill="auto"/>
          </w:tcPr>
          <w:p w14:paraId="33C34438" w14:textId="77777777" w:rsidR="009E5D82" w:rsidRDefault="007B5EE9">
            <w:pPr>
              <w:widowControl w:val="0"/>
              <w:jc w:val="center"/>
              <w:rPr>
                <w:rFonts w:ascii="Arial" w:hAnsi="Arial" w:cs="Arial"/>
                <w:b/>
                <w:bCs/>
                <w:sz w:val="22"/>
                <w:szCs w:val="22"/>
              </w:rPr>
            </w:pPr>
            <w:r>
              <w:rPr>
                <w:rFonts w:ascii="Arial" w:hAnsi="Arial" w:cs="Arial"/>
                <w:b/>
                <w:bCs/>
                <w:sz w:val="22"/>
                <w:szCs w:val="22"/>
              </w:rPr>
              <w:t>Votes against</w:t>
            </w:r>
          </w:p>
        </w:tc>
        <w:tc>
          <w:tcPr>
            <w:tcW w:w="2124" w:type="dxa"/>
          </w:tcPr>
          <w:p w14:paraId="651CF507" w14:textId="77777777" w:rsidR="009E5D82" w:rsidRDefault="007B5EE9">
            <w:pPr>
              <w:widowControl w:val="0"/>
              <w:jc w:val="center"/>
              <w:rPr>
                <w:rFonts w:ascii="Arial" w:hAnsi="Arial" w:cs="Arial"/>
                <w:b/>
                <w:bCs/>
                <w:sz w:val="22"/>
                <w:szCs w:val="22"/>
              </w:rPr>
            </w:pPr>
            <w:r>
              <w:rPr>
                <w:rFonts w:ascii="Arial" w:hAnsi="Arial" w:cs="Arial"/>
                <w:b/>
                <w:bCs/>
                <w:sz w:val="22"/>
                <w:szCs w:val="22"/>
              </w:rPr>
              <w:t>No vote</w:t>
            </w:r>
          </w:p>
        </w:tc>
      </w:tr>
      <w:tr w:rsidR="009E5D82" w14:paraId="1BEC64B5" w14:textId="77777777">
        <w:tc>
          <w:tcPr>
            <w:tcW w:w="2978" w:type="dxa"/>
            <w:shd w:val="clear" w:color="auto" w:fill="auto"/>
          </w:tcPr>
          <w:p w14:paraId="12E01EA0" w14:textId="77777777" w:rsidR="009E5D82" w:rsidRDefault="009E5D82">
            <w:pPr>
              <w:widowControl w:val="0"/>
              <w:rPr>
                <w:rFonts w:ascii="Arial" w:hAnsi="Arial" w:cs="Arial"/>
                <w:sz w:val="22"/>
                <w:szCs w:val="22"/>
              </w:rPr>
            </w:pPr>
          </w:p>
        </w:tc>
        <w:tc>
          <w:tcPr>
            <w:tcW w:w="1982" w:type="dxa"/>
            <w:shd w:val="clear" w:color="auto" w:fill="auto"/>
          </w:tcPr>
          <w:p w14:paraId="3B039639" w14:textId="77777777" w:rsidR="009E5D82" w:rsidRDefault="009E5D82">
            <w:pPr>
              <w:widowControl w:val="0"/>
              <w:rPr>
                <w:rFonts w:ascii="Arial" w:hAnsi="Arial" w:cs="Arial"/>
                <w:sz w:val="22"/>
                <w:szCs w:val="22"/>
              </w:rPr>
            </w:pPr>
          </w:p>
        </w:tc>
        <w:tc>
          <w:tcPr>
            <w:tcW w:w="1987" w:type="dxa"/>
            <w:shd w:val="clear" w:color="auto" w:fill="auto"/>
          </w:tcPr>
          <w:p w14:paraId="13A6E818" w14:textId="77777777" w:rsidR="009E5D82" w:rsidRDefault="009E5D82">
            <w:pPr>
              <w:widowControl w:val="0"/>
              <w:rPr>
                <w:rFonts w:ascii="Arial" w:hAnsi="Arial" w:cs="Arial"/>
                <w:sz w:val="22"/>
                <w:szCs w:val="22"/>
              </w:rPr>
            </w:pPr>
          </w:p>
        </w:tc>
        <w:tc>
          <w:tcPr>
            <w:tcW w:w="2124" w:type="dxa"/>
          </w:tcPr>
          <w:p w14:paraId="05229CF7" w14:textId="77777777" w:rsidR="009E5D82" w:rsidRDefault="009E5D82">
            <w:pPr>
              <w:widowControl w:val="0"/>
              <w:rPr>
                <w:rFonts w:ascii="Arial" w:hAnsi="Arial" w:cs="Arial"/>
                <w:sz w:val="22"/>
                <w:szCs w:val="22"/>
              </w:rPr>
            </w:pPr>
          </w:p>
        </w:tc>
      </w:tr>
      <w:tr w:rsidR="009E5D82" w14:paraId="5B11F333" w14:textId="77777777">
        <w:tc>
          <w:tcPr>
            <w:tcW w:w="2978" w:type="dxa"/>
            <w:shd w:val="clear" w:color="auto" w:fill="auto"/>
          </w:tcPr>
          <w:p w14:paraId="56E03757" w14:textId="77777777" w:rsidR="009E5D82" w:rsidRDefault="009E5D82">
            <w:pPr>
              <w:widowControl w:val="0"/>
              <w:rPr>
                <w:rFonts w:ascii="Arial" w:hAnsi="Arial" w:cs="Arial"/>
                <w:sz w:val="22"/>
                <w:szCs w:val="22"/>
              </w:rPr>
            </w:pPr>
          </w:p>
        </w:tc>
        <w:tc>
          <w:tcPr>
            <w:tcW w:w="1982" w:type="dxa"/>
            <w:shd w:val="clear" w:color="auto" w:fill="auto"/>
          </w:tcPr>
          <w:p w14:paraId="72B7D84C" w14:textId="77777777" w:rsidR="009E5D82" w:rsidRDefault="009E5D82">
            <w:pPr>
              <w:widowControl w:val="0"/>
              <w:rPr>
                <w:rFonts w:ascii="Arial" w:hAnsi="Arial" w:cs="Arial"/>
                <w:sz w:val="22"/>
                <w:szCs w:val="22"/>
              </w:rPr>
            </w:pPr>
          </w:p>
        </w:tc>
        <w:tc>
          <w:tcPr>
            <w:tcW w:w="1987" w:type="dxa"/>
            <w:shd w:val="clear" w:color="auto" w:fill="auto"/>
          </w:tcPr>
          <w:p w14:paraId="11F1D7B2" w14:textId="77777777" w:rsidR="009E5D82" w:rsidRDefault="009E5D82">
            <w:pPr>
              <w:widowControl w:val="0"/>
              <w:rPr>
                <w:rFonts w:ascii="Arial" w:hAnsi="Arial" w:cs="Arial"/>
                <w:sz w:val="22"/>
                <w:szCs w:val="22"/>
              </w:rPr>
            </w:pPr>
          </w:p>
        </w:tc>
        <w:tc>
          <w:tcPr>
            <w:tcW w:w="2124" w:type="dxa"/>
          </w:tcPr>
          <w:p w14:paraId="05EC735A" w14:textId="77777777" w:rsidR="009E5D82" w:rsidRDefault="009E5D82">
            <w:pPr>
              <w:widowControl w:val="0"/>
              <w:rPr>
                <w:rFonts w:ascii="Arial" w:hAnsi="Arial" w:cs="Arial"/>
                <w:sz w:val="22"/>
                <w:szCs w:val="22"/>
              </w:rPr>
            </w:pPr>
          </w:p>
        </w:tc>
      </w:tr>
    </w:tbl>
    <w:p w14:paraId="5AABCB82" w14:textId="77777777" w:rsidR="009E5D82" w:rsidRDefault="007B5EE9">
      <w:pPr>
        <w:spacing w:before="120" w:after="120"/>
        <w:rPr>
          <w:rFonts w:ascii="Arial" w:hAnsi="Arial" w:cs="Arial"/>
          <w:b/>
        </w:rPr>
      </w:pPr>
      <w:r>
        <w:rPr>
          <w:rFonts w:ascii="Arial" w:hAnsi="Arial" w:cs="Arial"/>
          <w:b/>
        </w:rPr>
        <w:lastRenderedPageBreak/>
        <w:t>Authority to use the name of a living person</w:t>
      </w:r>
    </w:p>
    <w:p w14:paraId="0BAB2E38" w14:textId="77777777" w:rsidR="009E5D82" w:rsidRDefault="009E5D82">
      <w:pPr>
        <w:rPr>
          <w:rFonts w:ascii="Arial" w:hAnsi="Arial" w:cs="Arial"/>
          <w:iCs/>
          <w:color w:val="0000FF"/>
          <w:sz w:val="20"/>
        </w:rPr>
      </w:pPr>
    </w:p>
    <w:tbl>
      <w:tblPr>
        <w:tblStyle w:val="TableGrid"/>
        <w:tblW w:w="9072" w:type="dxa"/>
        <w:tblInd w:w="137" w:type="dxa"/>
        <w:tblLayout w:type="fixed"/>
        <w:tblLook w:val="04A0" w:firstRow="1" w:lastRow="0" w:firstColumn="1" w:lastColumn="0" w:noHBand="0" w:noVBand="1"/>
      </w:tblPr>
      <w:tblGrid>
        <w:gridCol w:w="7939"/>
        <w:gridCol w:w="1133"/>
      </w:tblGrid>
      <w:tr w:rsidR="009E5D82" w14:paraId="0D3E3EB3" w14:textId="77777777">
        <w:tc>
          <w:tcPr>
            <w:tcW w:w="7938" w:type="dxa"/>
            <w:shd w:val="clear" w:color="auto" w:fill="auto"/>
          </w:tcPr>
          <w:p w14:paraId="4118D4B7" w14:textId="77777777" w:rsidR="009E5D82" w:rsidRDefault="007B5EE9">
            <w:pPr>
              <w:widowControl w:val="0"/>
            </w:pPr>
            <w:r>
              <w:rPr>
                <w:rFonts w:ascii="Arial" w:hAnsi="Arial" w:cs="Arial"/>
                <w:b/>
                <w:bCs/>
                <w:color w:val="000000"/>
                <w:sz w:val="22"/>
                <w:szCs w:val="22"/>
              </w:rPr>
              <w:t>Is any taxon name used here derived from that of a living person (Y/N)</w:t>
            </w:r>
          </w:p>
        </w:tc>
        <w:tc>
          <w:tcPr>
            <w:tcW w:w="1133" w:type="dxa"/>
            <w:shd w:val="clear" w:color="auto" w:fill="auto"/>
          </w:tcPr>
          <w:p w14:paraId="70A5370F" w14:textId="1F7115D6" w:rsidR="009E5D82" w:rsidRDefault="00AD76AD">
            <w:pPr>
              <w:widowControl w:val="0"/>
              <w:rPr>
                <w:rFonts w:ascii="Arial" w:hAnsi="Arial" w:cs="Arial"/>
                <w:sz w:val="22"/>
                <w:szCs w:val="22"/>
              </w:rPr>
            </w:pPr>
            <w:r>
              <w:rPr>
                <w:rFonts w:ascii="Arial" w:hAnsi="Arial" w:cs="Arial"/>
                <w:sz w:val="22"/>
                <w:szCs w:val="22"/>
              </w:rPr>
              <w:t>N</w:t>
            </w:r>
          </w:p>
        </w:tc>
      </w:tr>
    </w:tbl>
    <w:p w14:paraId="27F8236F" w14:textId="77777777" w:rsidR="009E5D82" w:rsidRDefault="009E5D82">
      <w:pPr>
        <w:rPr>
          <w:rFonts w:ascii="Arial" w:hAnsi="Arial" w:cs="Arial"/>
          <w:iCs/>
          <w:color w:val="0000FF"/>
          <w:sz w:val="20"/>
        </w:rPr>
      </w:pPr>
    </w:p>
    <w:tbl>
      <w:tblPr>
        <w:tblStyle w:val="TableGrid"/>
        <w:tblW w:w="9072" w:type="dxa"/>
        <w:tblInd w:w="137" w:type="dxa"/>
        <w:tblLayout w:type="fixed"/>
        <w:tblLook w:val="04A0" w:firstRow="1" w:lastRow="0" w:firstColumn="1" w:lastColumn="0" w:noHBand="0" w:noVBand="1"/>
      </w:tblPr>
      <w:tblGrid>
        <w:gridCol w:w="2688"/>
        <w:gridCol w:w="3402"/>
        <w:gridCol w:w="2982"/>
      </w:tblGrid>
      <w:tr w:rsidR="009E5D82" w14:paraId="63C2B9CC" w14:textId="77777777">
        <w:tc>
          <w:tcPr>
            <w:tcW w:w="2688" w:type="dxa"/>
            <w:shd w:val="clear" w:color="auto" w:fill="auto"/>
          </w:tcPr>
          <w:p w14:paraId="75741AF5" w14:textId="77777777" w:rsidR="009E5D82" w:rsidRDefault="007B5EE9">
            <w:pPr>
              <w:widowControl w:val="0"/>
              <w:rPr>
                <w:rFonts w:ascii="Arial" w:hAnsi="Arial" w:cs="Arial"/>
                <w:b/>
                <w:bCs/>
                <w:color w:val="000000"/>
                <w:sz w:val="22"/>
                <w:szCs w:val="22"/>
              </w:rPr>
            </w:pPr>
            <w:r>
              <w:rPr>
                <w:rFonts w:ascii="Arial" w:hAnsi="Arial" w:cs="Arial"/>
                <w:b/>
                <w:bCs/>
                <w:color w:val="000000"/>
                <w:sz w:val="22"/>
                <w:szCs w:val="22"/>
              </w:rPr>
              <w:t>Taxon name</w:t>
            </w:r>
          </w:p>
        </w:tc>
        <w:tc>
          <w:tcPr>
            <w:tcW w:w="3402" w:type="dxa"/>
            <w:shd w:val="clear" w:color="auto" w:fill="auto"/>
          </w:tcPr>
          <w:p w14:paraId="023B2DB5" w14:textId="77777777" w:rsidR="009E5D82" w:rsidRDefault="007B5EE9">
            <w:pPr>
              <w:widowControl w:val="0"/>
            </w:pPr>
            <w:r>
              <w:rPr>
                <w:rFonts w:ascii="Arial" w:hAnsi="Arial" w:cs="Arial"/>
                <w:b/>
                <w:bCs/>
                <w:color w:val="000000"/>
                <w:sz w:val="22"/>
                <w:szCs w:val="22"/>
              </w:rPr>
              <w:t>Person from whom the name is derived</w:t>
            </w:r>
          </w:p>
        </w:tc>
        <w:tc>
          <w:tcPr>
            <w:tcW w:w="2982" w:type="dxa"/>
            <w:shd w:val="clear" w:color="auto" w:fill="auto"/>
          </w:tcPr>
          <w:p w14:paraId="3355203E" w14:textId="77777777" w:rsidR="009E5D82" w:rsidRDefault="007B5EE9">
            <w:pPr>
              <w:widowControl w:val="0"/>
            </w:pPr>
            <w:r>
              <w:rPr>
                <w:rFonts w:ascii="Arial" w:hAnsi="Arial" w:cs="Arial"/>
                <w:b/>
                <w:bCs/>
                <w:color w:val="000000"/>
                <w:sz w:val="22"/>
                <w:szCs w:val="22"/>
              </w:rPr>
              <w:t>Permission attached (Y/N)</w:t>
            </w:r>
          </w:p>
        </w:tc>
      </w:tr>
      <w:tr w:rsidR="009E5D82" w14:paraId="2F6598D9" w14:textId="77777777">
        <w:tc>
          <w:tcPr>
            <w:tcW w:w="2688" w:type="dxa"/>
            <w:shd w:val="clear" w:color="auto" w:fill="auto"/>
          </w:tcPr>
          <w:p w14:paraId="405EBEB2" w14:textId="77777777" w:rsidR="009E5D82" w:rsidRDefault="009E5D82">
            <w:pPr>
              <w:widowControl w:val="0"/>
              <w:rPr>
                <w:rFonts w:ascii="Arial" w:hAnsi="Arial" w:cs="Arial"/>
                <w:sz w:val="22"/>
                <w:szCs w:val="22"/>
              </w:rPr>
            </w:pPr>
          </w:p>
        </w:tc>
        <w:tc>
          <w:tcPr>
            <w:tcW w:w="3402" w:type="dxa"/>
            <w:shd w:val="clear" w:color="auto" w:fill="auto"/>
          </w:tcPr>
          <w:p w14:paraId="0DC6889C" w14:textId="77777777" w:rsidR="009E5D82" w:rsidRDefault="009E5D82">
            <w:pPr>
              <w:widowControl w:val="0"/>
              <w:rPr>
                <w:rFonts w:ascii="Arial" w:hAnsi="Arial" w:cs="Arial"/>
                <w:sz w:val="22"/>
                <w:szCs w:val="22"/>
              </w:rPr>
            </w:pPr>
          </w:p>
        </w:tc>
        <w:tc>
          <w:tcPr>
            <w:tcW w:w="2982" w:type="dxa"/>
            <w:shd w:val="clear" w:color="auto" w:fill="auto"/>
          </w:tcPr>
          <w:p w14:paraId="14738943" w14:textId="77777777" w:rsidR="009E5D82" w:rsidRDefault="009E5D82">
            <w:pPr>
              <w:widowControl w:val="0"/>
              <w:rPr>
                <w:rFonts w:ascii="Arial" w:hAnsi="Arial" w:cs="Arial"/>
                <w:sz w:val="22"/>
                <w:szCs w:val="22"/>
              </w:rPr>
            </w:pPr>
          </w:p>
        </w:tc>
      </w:tr>
      <w:tr w:rsidR="009E5D82" w14:paraId="212D88D0" w14:textId="77777777">
        <w:tc>
          <w:tcPr>
            <w:tcW w:w="2688" w:type="dxa"/>
            <w:shd w:val="clear" w:color="auto" w:fill="auto"/>
          </w:tcPr>
          <w:p w14:paraId="67A57793" w14:textId="77777777" w:rsidR="009E5D82" w:rsidRDefault="009E5D82">
            <w:pPr>
              <w:widowControl w:val="0"/>
              <w:rPr>
                <w:rFonts w:ascii="Arial" w:hAnsi="Arial" w:cs="Arial"/>
                <w:sz w:val="22"/>
                <w:szCs w:val="22"/>
              </w:rPr>
            </w:pPr>
          </w:p>
        </w:tc>
        <w:tc>
          <w:tcPr>
            <w:tcW w:w="3402" w:type="dxa"/>
            <w:shd w:val="clear" w:color="auto" w:fill="auto"/>
          </w:tcPr>
          <w:p w14:paraId="51E92BD3" w14:textId="77777777" w:rsidR="009E5D82" w:rsidRDefault="009E5D82">
            <w:pPr>
              <w:widowControl w:val="0"/>
              <w:rPr>
                <w:rFonts w:ascii="Arial" w:hAnsi="Arial" w:cs="Arial"/>
                <w:sz w:val="22"/>
                <w:szCs w:val="22"/>
              </w:rPr>
            </w:pPr>
          </w:p>
        </w:tc>
        <w:tc>
          <w:tcPr>
            <w:tcW w:w="2982" w:type="dxa"/>
            <w:shd w:val="clear" w:color="auto" w:fill="auto"/>
          </w:tcPr>
          <w:p w14:paraId="79432D4B" w14:textId="77777777" w:rsidR="009E5D82" w:rsidRDefault="009E5D82">
            <w:pPr>
              <w:widowControl w:val="0"/>
              <w:rPr>
                <w:rFonts w:ascii="Arial" w:hAnsi="Arial" w:cs="Arial"/>
                <w:sz w:val="22"/>
                <w:szCs w:val="22"/>
              </w:rPr>
            </w:pPr>
          </w:p>
        </w:tc>
      </w:tr>
      <w:tr w:rsidR="009E5D82" w14:paraId="2AE79AA2" w14:textId="77777777">
        <w:tc>
          <w:tcPr>
            <w:tcW w:w="2688" w:type="dxa"/>
            <w:shd w:val="clear" w:color="auto" w:fill="auto"/>
          </w:tcPr>
          <w:p w14:paraId="6AE6630F" w14:textId="77777777" w:rsidR="009E5D82" w:rsidRDefault="009E5D82">
            <w:pPr>
              <w:widowControl w:val="0"/>
              <w:rPr>
                <w:rFonts w:ascii="Arial" w:hAnsi="Arial" w:cs="Arial"/>
                <w:sz w:val="22"/>
                <w:szCs w:val="22"/>
              </w:rPr>
            </w:pPr>
          </w:p>
        </w:tc>
        <w:tc>
          <w:tcPr>
            <w:tcW w:w="3402" w:type="dxa"/>
            <w:shd w:val="clear" w:color="auto" w:fill="auto"/>
          </w:tcPr>
          <w:p w14:paraId="23732BF0" w14:textId="77777777" w:rsidR="009E5D82" w:rsidRDefault="009E5D82">
            <w:pPr>
              <w:widowControl w:val="0"/>
              <w:rPr>
                <w:rFonts w:ascii="Arial" w:hAnsi="Arial" w:cs="Arial"/>
                <w:sz w:val="22"/>
                <w:szCs w:val="22"/>
              </w:rPr>
            </w:pPr>
          </w:p>
        </w:tc>
        <w:tc>
          <w:tcPr>
            <w:tcW w:w="2982" w:type="dxa"/>
            <w:shd w:val="clear" w:color="auto" w:fill="auto"/>
          </w:tcPr>
          <w:p w14:paraId="146968D6" w14:textId="77777777" w:rsidR="009E5D82" w:rsidRDefault="009E5D82">
            <w:pPr>
              <w:widowControl w:val="0"/>
              <w:rPr>
                <w:rFonts w:ascii="Arial" w:hAnsi="Arial" w:cs="Arial"/>
                <w:sz w:val="22"/>
                <w:szCs w:val="22"/>
              </w:rPr>
            </w:pPr>
          </w:p>
        </w:tc>
      </w:tr>
    </w:tbl>
    <w:p w14:paraId="1223F7DF" w14:textId="77777777" w:rsidR="009E5D82" w:rsidRDefault="009E5D82"/>
    <w:p w14:paraId="08E8D046" w14:textId="77777777" w:rsidR="009E5D82" w:rsidRDefault="007B5EE9">
      <w:pPr>
        <w:rPr>
          <w:rFonts w:ascii="Arial" w:hAnsi="Arial" w:cs="Arial"/>
          <w:b/>
          <w:bCs/>
        </w:rPr>
      </w:pPr>
      <w:r>
        <w:rPr>
          <w:rFonts w:ascii="Arial" w:hAnsi="Arial" w:cs="Arial"/>
          <w:b/>
          <w:bCs/>
        </w:rPr>
        <w:t>Submission dates</w:t>
      </w:r>
    </w:p>
    <w:tbl>
      <w:tblPr>
        <w:tblStyle w:val="TableGrid"/>
        <w:tblW w:w="9072" w:type="dxa"/>
        <w:tblInd w:w="137" w:type="dxa"/>
        <w:tblLayout w:type="fixed"/>
        <w:tblLook w:val="04A0" w:firstRow="1" w:lastRow="0" w:firstColumn="1" w:lastColumn="0" w:noHBand="0" w:noVBand="1"/>
      </w:tblPr>
      <w:tblGrid>
        <w:gridCol w:w="4820"/>
        <w:gridCol w:w="4252"/>
      </w:tblGrid>
      <w:tr w:rsidR="009E5D82" w14:paraId="74FF9A19" w14:textId="77777777">
        <w:tc>
          <w:tcPr>
            <w:tcW w:w="4819" w:type="dxa"/>
            <w:shd w:val="clear" w:color="auto" w:fill="auto"/>
          </w:tcPr>
          <w:p w14:paraId="668AD1FD" w14:textId="77777777" w:rsidR="009E5D82" w:rsidRDefault="007B5EE9">
            <w:pPr>
              <w:widowControl w:val="0"/>
              <w:rPr>
                <w:sz w:val="22"/>
                <w:szCs w:val="22"/>
              </w:rPr>
            </w:pPr>
            <w:r>
              <w:rPr>
                <w:rFonts w:ascii="Arial" w:hAnsi="Arial" w:cs="Arial"/>
                <w:sz w:val="22"/>
                <w:szCs w:val="22"/>
              </w:rPr>
              <w:t>Date first submitted to SC Chair</w:t>
            </w:r>
          </w:p>
        </w:tc>
        <w:tc>
          <w:tcPr>
            <w:tcW w:w="4252" w:type="dxa"/>
            <w:shd w:val="clear" w:color="auto" w:fill="auto"/>
          </w:tcPr>
          <w:p w14:paraId="76A6B877" w14:textId="5645C2AA" w:rsidR="009E5D82" w:rsidRDefault="00840230">
            <w:pPr>
              <w:widowControl w:val="0"/>
              <w:rPr>
                <w:rFonts w:ascii="Arial" w:hAnsi="Arial" w:cs="Arial"/>
                <w:sz w:val="22"/>
                <w:szCs w:val="22"/>
              </w:rPr>
            </w:pPr>
            <w:r>
              <w:rPr>
                <w:rFonts w:ascii="Arial" w:hAnsi="Arial" w:cs="Arial"/>
                <w:sz w:val="22"/>
                <w:szCs w:val="22"/>
              </w:rPr>
              <w:t>May 2023</w:t>
            </w:r>
          </w:p>
        </w:tc>
      </w:tr>
      <w:tr w:rsidR="009E5D82" w14:paraId="2087CC38" w14:textId="77777777">
        <w:tc>
          <w:tcPr>
            <w:tcW w:w="4819" w:type="dxa"/>
            <w:shd w:val="clear" w:color="auto" w:fill="auto"/>
          </w:tcPr>
          <w:p w14:paraId="0CC7AE71" w14:textId="77777777" w:rsidR="009E5D82" w:rsidRDefault="007B5EE9">
            <w:pPr>
              <w:widowControl w:val="0"/>
              <w:rPr>
                <w:sz w:val="22"/>
                <w:szCs w:val="22"/>
              </w:rPr>
            </w:pPr>
            <w:r>
              <w:rPr>
                <w:rFonts w:ascii="Arial" w:hAnsi="Arial" w:cs="Arial"/>
                <w:sz w:val="22"/>
                <w:szCs w:val="22"/>
              </w:rPr>
              <w:t>Date of this revision (if different to above)</w:t>
            </w:r>
          </w:p>
        </w:tc>
        <w:tc>
          <w:tcPr>
            <w:tcW w:w="4252" w:type="dxa"/>
            <w:shd w:val="clear" w:color="auto" w:fill="auto"/>
          </w:tcPr>
          <w:p w14:paraId="637BD42E" w14:textId="77777777" w:rsidR="009E5D82" w:rsidRDefault="009E5D82">
            <w:pPr>
              <w:widowControl w:val="0"/>
              <w:rPr>
                <w:rFonts w:ascii="Arial" w:hAnsi="Arial" w:cs="Arial"/>
                <w:sz w:val="22"/>
                <w:szCs w:val="22"/>
              </w:rPr>
            </w:pPr>
          </w:p>
        </w:tc>
      </w:tr>
    </w:tbl>
    <w:p w14:paraId="14B23C37" w14:textId="77777777" w:rsidR="009E5D82" w:rsidRDefault="007B5EE9">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ayout w:type="fixed"/>
        <w:tblLook w:val="04A0" w:firstRow="1" w:lastRow="0" w:firstColumn="1" w:lastColumn="0" w:noHBand="0" w:noVBand="1"/>
      </w:tblPr>
      <w:tblGrid>
        <w:gridCol w:w="9072"/>
      </w:tblGrid>
      <w:tr w:rsidR="009E5D82" w14:paraId="1BDD6C04" w14:textId="77777777">
        <w:tc>
          <w:tcPr>
            <w:tcW w:w="9072" w:type="dxa"/>
            <w:shd w:val="clear" w:color="auto" w:fill="auto"/>
          </w:tcPr>
          <w:p w14:paraId="14BCC27B" w14:textId="77777777" w:rsidR="009E5D82" w:rsidRDefault="009E5D82">
            <w:pPr>
              <w:widowControl w:val="0"/>
              <w:rPr>
                <w:rFonts w:ascii="Arial" w:hAnsi="Arial" w:cs="Arial"/>
                <w:sz w:val="22"/>
                <w:szCs w:val="22"/>
              </w:rPr>
            </w:pPr>
          </w:p>
          <w:p w14:paraId="287D9A83" w14:textId="77777777" w:rsidR="009E5D82" w:rsidRDefault="009E5D82">
            <w:pPr>
              <w:widowControl w:val="0"/>
              <w:rPr>
                <w:rFonts w:ascii="Arial" w:hAnsi="Arial" w:cs="Arial"/>
                <w:sz w:val="22"/>
                <w:szCs w:val="22"/>
              </w:rPr>
            </w:pPr>
          </w:p>
          <w:p w14:paraId="759D6569" w14:textId="77777777" w:rsidR="009E5D82" w:rsidRDefault="009E5D82">
            <w:pPr>
              <w:widowControl w:val="0"/>
              <w:rPr>
                <w:rFonts w:ascii="Arial" w:hAnsi="Arial" w:cs="Arial"/>
                <w:sz w:val="22"/>
                <w:szCs w:val="22"/>
              </w:rPr>
            </w:pPr>
          </w:p>
          <w:p w14:paraId="32485479" w14:textId="77777777" w:rsidR="009E5D82" w:rsidRDefault="009E5D82">
            <w:pPr>
              <w:widowControl w:val="0"/>
              <w:rPr>
                <w:rFonts w:ascii="Arial" w:hAnsi="Arial" w:cs="Arial"/>
                <w:sz w:val="22"/>
                <w:szCs w:val="22"/>
              </w:rPr>
            </w:pPr>
          </w:p>
        </w:tc>
      </w:tr>
    </w:tbl>
    <w:p w14:paraId="1885A8ED" w14:textId="77777777" w:rsidR="009E5D82" w:rsidRDefault="009E5D82">
      <w:pPr>
        <w:pStyle w:val="BodyTextIndent"/>
        <w:spacing w:before="120" w:after="120"/>
        <w:ind w:left="0" w:firstLine="0"/>
        <w:rPr>
          <w:rFonts w:ascii="Arial" w:hAnsi="Arial" w:cs="Arial"/>
          <w:b/>
          <w:color w:val="000000"/>
          <w:szCs w:val="24"/>
        </w:rPr>
      </w:pPr>
    </w:p>
    <w:p w14:paraId="5AAE4CE9" w14:textId="77777777" w:rsidR="009E5D82" w:rsidRDefault="007B5EE9">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6BC9650D" w14:textId="77777777" w:rsidR="009E5D82" w:rsidRDefault="007B5EE9">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ayout w:type="fixed"/>
        <w:tblLook w:val="04A0" w:firstRow="1" w:lastRow="0" w:firstColumn="1" w:lastColumn="0" w:noHBand="0" w:noVBand="1"/>
      </w:tblPr>
      <w:tblGrid>
        <w:gridCol w:w="9072"/>
      </w:tblGrid>
      <w:tr w:rsidR="009E5D82" w14:paraId="445B5DA3" w14:textId="77777777">
        <w:trPr>
          <w:trHeight w:val="4290"/>
        </w:trPr>
        <w:tc>
          <w:tcPr>
            <w:tcW w:w="9072" w:type="dxa"/>
            <w:shd w:val="clear" w:color="auto" w:fill="auto"/>
          </w:tcPr>
          <w:p w14:paraId="28369ED5" w14:textId="77777777" w:rsidR="009E5D82" w:rsidRDefault="009E5D82">
            <w:pPr>
              <w:pStyle w:val="BodyTextIndent"/>
              <w:widowControl w:val="0"/>
              <w:ind w:left="0" w:firstLine="0"/>
              <w:rPr>
                <w:rFonts w:ascii="Arial" w:hAnsi="Arial" w:cs="Arial"/>
                <w:color w:val="0000FF"/>
                <w:sz w:val="22"/>
                <w:szCs w:val="22"/>
              </w:rPr>
            </w:pPr>
          </w:p>
          <w:p w14:paraId="527815A3" w14:textId="77777777" w:rsidR="009E5D82" w:rsidRDefault="009E5D82">
            <w:pPr>
              <w:pStyle w:val="BodyTextIndent"/>
              <w:widowControl w:val="0"/>
              <w:ind w:left="0" w:firstLine="0"/>
              <w:rPr>
                <w:rFonts w:ascii="Arial" w:hAnsi="Arial" w:cs="Arial"/>
                <w:color w:val="0000FF"/>
                <w:sz w:val="22"/>
                <w:szCs w:val="22"/>
              </w:rPr>
            </w:pPr>
          </w:p>
          <w:p w14:paraId="63E2FA42" w14:textId="77777777" w:rsidR="009E5D82" w:rsidRDefault="009E5D82">
            <w:pPr>
              <w:pStyle w:val="BodyTextIndent"/>
              <w:widowControl w:val="0"/>
              <w:ind w:left="0" w:firstLine="0"/>
              <w:rPr>
                <w:rFonts w:ascii="Arial" w:hAnsi="Arial" w:cs="Arial"/>
                <w:color w:val="0000FF"/>
                <w:sz w:val="22"/>
                <w:szCs w:val="22"/>
              </w:rPr>
            </w:pPr>
          </w:p>
          <w:p w14:paraId="15A7B356" w14:textId="77777777" w:rsidR="009E5D82" w:rsidRDefault="009E5D82">
            <w:pPr>
              <w:pStyle w:val="BodyTextIndent"/>
              <w:widowControl w:val="0"/>
              <w:ind w:left="0" w:firstLine="0"/>
              <w:rPr>
                <w:rFonts w:ascii="Arial" w:hAnsi="Arial" w:cs="Arial"/>
                <w:color w:val="0000FF"/>
                <w:sz w:val="22"/>
                <w:szCs w:val="22"/>
              </w:rPr>
            </w:pPr>
          </w:p>
          <w:p w14:paraId="5D97994C" w14:textId="77777777" w:rsidR="009E5D82" w:rsidRDefault="009E5D82">
            <w:pPr>
              <w:pStyle w:val="BodyTextIndent"/>
              <w:widowControl w:val="0"/>
              <w:ind w:left="0" w:firstLine="0"/>
              <w:rPr>
                <w:rFonts w:ascii="Arial" w:hAnsi="Arial" w:cs="Arial"/>
                <w:color w:val="0000FF"/>
                <w:sz w:val="22"/>
                <w:szCs w:val="22"/>
              </w:rPr>
            </w:pPr>
          </w:p>
          <w:p w14:paraId="1BE0D526" w14:textId="77777777" w:rsidR="009E5D82" w:rsidRDefault="009E5D82">
            <w:pPr>
              <w:pStyle w:val="BodyTextIndent"/>
              <w:widowControl w:val="0"/>
              <w:ind w:left="0" w:firstLine="0"/>
              <w:rPr>
                <w:rFonts w:ascii="Arial" w:hAnsi="Arial" w:cs="Arial"/>
                <w:color w:val="0000FF"/>
                <w:sz w:val="22"/>
                <w:szCs w:val="22"/>
              </w:rPr>
            </w:pPr>
          </w:p>
          <w:p w14:paraId="1B5DD2CC" w14:textId="77777777" w:rsidR="009E5D82" w:rsidRDefault="009E5D82">
            <w:pPr>
              <w:pStyle w:val="BodyTextIndent"/>
              <w:widowControl w:val="0"/>
              <w:ind w:left="0" w:firstLine="0"/>
              <w:rPr>
                <w:rFonts w:ascii="Arial" w:hAnsi="Arial" w:cs="Arial"/>
                <w:color w:val="0000FF"/>
                <w:sz w:val="22"/>
                <w:szCs w:val="22"/>
              </w:rPr>
            </w:pPr>
          </w:p>
          <w:p w14:paraId="796C943A" w14:textId="77777777" w:rsidR="009E5D82" w:rsidRDefault="009E5D82">
            <w:pPr>
              <w:pStyle w:val="BodyTextIndent"/>
              <w:widowControl w:val="0"/>
              <w:ind w:left="0" w:firstLine="0"/>
              <w:rPr>
                <w:rFonts w:ascii="Arial" w:hAnsi="Arial" w:cs="Arial"/>
                <w:color w:val="0000FF"/>
                <w:sz w:val="22"/>
                <w:szCs w:val="22"/>
              </w:rPr>
            </w:pPr>
          </w:p>
          <w:p w14:paraId="557F7725" w14:textId="77777777" w:rsidR="009E5D82" w:rsidRDefault="009E5D82">
            <w:pPr>
              <w:pStyle w:val="BodyTextIndent"/>
              <w:widowControl w:val="0"/>
              <w:ind w:left="0" w:firstLine="0"/>
              <w:rPr>
                <w:rFonts w:ascii="Arial" w:hAnsi="Arial" w:cs="Arial"/>
                <w:color w:val="0000FF"/>
                <w:sz w:val="22"/>
                <w:szCs w:val="22"/>
              </w:rPr>
            </w:pPr>
          </w:p>
          <w:p w14:paraId="160AACDF" w14:textId="77777777" w:rsidR="009E5D82" w:rsidRDefault="009E5D82">
            <w:pPr>
              <w:pStyle w:val="BodyTextIndent"/>
              <w:widowControl w:val="0"/>
              <w:ind w:left="0" w:firstLine="0"/>
              <w:rPr>
                <w:rFonts w:ascii="Arial" w:hAnsi="Arial" w:cs="Arial"/>
                <w:color w:val="0000FF"/>
                <w:sz w:val="22"/>
                <w:szCs w:val="22"/>
              </w:rPr>
            </w:pPr>
          </w:p>
          <w:p w14:paraId="3296A61A" w14:textId="77777777" w:rsidR="009E5D82" w:rsidRDefault="009E5D82">
            <w:pPr>
              <w:pStyle w:val="BodyTextIndent"/>
              <w:widowControl w:val="0"/>
              <w:ind w:left="0" w:firstLine="0"/>
              <w:rPr>
                <w:rFonts w:ascii="Arial" w:hAnsi="Arial" w:cs="Arial"/>
                <w:color w:val="0000FF"/>
                <w:sz w:val="22"/>
                <w:szCs w:val="22"/>
              </w:rPr>
            </w:pPr>
          </w:p>
          <w:p w14:paraId="586F0B09" w14:textId="77777777" w:rsidR="009E5D82" w:rsidRDefault="009E5D82">
            <w:pPr>
              <w:pStyle w:val="BodyTextIndent"/>
              <w:widowControl w:val="0"/>
              <w:ind w:left="0" w:firstLine="0"/>
              <w:rPr>
                <w:rFonts w:ascii="Arial" w:hAnsi="Arial" w:cs="Arial"/>
                <w:color w:val="0000FF"/>
                <w:sz w:val="22"/>
                <w:szCs w:val="22"/>
              </w:rPr>
            </w:pPr>
          </w:p>
          <w:p w14:paraId="37073F12" w14:textId="77777777" w:rsidR="009E5D82" w:rsidRDefault="009E5D82">
            <w:pPr>
              <w:pStyle w:val="BodyTextIndent"/>
              <w:widowControl w:val="0"/>
              <w:ind w:left="0" w:firstLine="0"/>
              <w:rPr>
                <w:rFonts w:ascii="Arial" w:hAnsi="Arial" w:cs="Arial"/>
                <w:color w:val="0000FF"/>
                <w:sz w:val="22"/>
                <w:szCs w:val="22"/>
              </w:rPr>
            </w:pPr>
          </w:p>
          <w:p w14:paraId="2C0B7779" w14:textId="77777777" w:rsidR="009E5D82" w:rsidRDefault="009E5D82">
            <w:pPr>
              <w:pStyle w:val="BodyTextIndent"/>
              <w:widowControl w:val="0"/>
              <w:ind w:left="0" w:firstLine="0"/>
              <w:rPr>
                <w:rFonts w:ascii="Arial" w:hAnsi="Arial" w:cs="Arial"/>
                <w:color w:val="0000FF"/>
                <w:sz w:val="22"/>
                <w:szCs w:val="22"/>
              </w:rPr>
            </w:pPr>
          </w:p>
          <w:p w14:paraId="4EF31FF1" w14:textId="77777777" w:rsidR="009E5D82" w:rsidRDefault="009E5D82">
            <w:pPr>
              <w:pStyle w:val="BodyTextIndent"/>
              <w:widowControl w:val="0"/>
              <w:ind w:left="0" w:firstLine="0"/>
              <w:rPr>
                <w:rFonts w:ascii="Arial" w:hAnsi="Arial" w:cs="Arial"/>
                <w:color w:val="0000FF"/>
                <w:sz w:val="22"/>
                <w:szCs w:val="22"/>
              </w:rPr>
            </w:pPr>
          </w:p>
          <w:p w14:paraId="601D4939" w14:textId="77777777" w:rsidR="009E5D82" w:rsidRDefault="009E5D82">
            <w:pPr>
              <w:pStyle w:val="BodyTextIndent"/>
              <w:widowControl w:val="0"/>
              <w:ind w:left="0" w:firstLine="0"/>
              <w:rPr>
                <w:rFonts w:ascii="Arial" w:hAnsi="Arial" w:cs="Arial"/>
                <w:color w:val="0000FF"/>
                <w:sz w:val="22"/>
                <w:szCs w:val="22"/>
              </w:rPr>
            </w:pPr>
          </w:p>
          <w:p w14:paraId="5E8F0664" w14:textId="77777777" w:rsidR="009E5D82" w:rsidRDefault="009E5D82">
            <w:pPr>
              <w:pStyle w:val="BodyTextIndent"/>
              <w:widowControl w:val="0"/>
              <w:ind w:left="0" w:firstLine="0"/>
              <w:rPr>
                <w:rFonts w:ascii="Arial" w:hAnsi="Arial" w:cs="Arial"/>
                <w:color w:val="0000FF"/>
                <w:sz w:val="22"/>
                <w:szCs w:val="22"/>
              </w:rPr>
            </w:pPr>
          </w:p>
          <w:p w14:paraId="2FF51FBE" w14:textId="77777777" w:rsidR="009E5D82" w:rsidRDefault="009E5D82">
            <w:pPr>
              <w:pStyle w:val="BodyTextIndent"/>
              <w:widowControl w:val="0"/>
              <w:ind w:left="0" w:firstLine="0"/>
              <w:rPr>
                <w:rFonts w:ascii="Arial" w:hAnsi="Arial" w:cs="Arial"/>
                <w:color w:val="0000FF"/>
                <w:sz w:val="22"/>
                <w:szCs w:val="22"/>
              </w:rPr>
            </w:pPr>
          </w:p>
          <w:p w14:paraId="69CF87B3" w14:textId="77777777" w:rsidR="009E5D82" w:rsidRDefault="009E5D82">
            <w:pPr>
              <w:pStyle w:val="BodyTextIndent"/>
              <w:widowControl w:val="0"/>
              <w:ind w:left="0" w:firstLine="0"/>
              <w:rPr>
                <w:rFonts w:ascii="Arial" w:hAnsi="Arial" w:cs="Arial"/>
                <w:color w:val="0000FF"/>
                <w:sz w:val="22"/>
                <w:szCs w:val="22"/>
              </w:rPr>
            </w:pPr>
          </w:p>
          <w:p w14:paraId="5995C966" w14:textId="77777777" w:rsidR="009E5D82" w:rsidRDefault="009E5D82">
            <w:pPr>
              <w:pStyle w:val="BodyTextIndent"/>
              <w:widowControl w:val="0"/>
              <w:ind w:left="0" w:firstLine="0"/>
              <w:rPr>
                <w:rFonts w:ascii="Arial" w:hAnsi="Arial" w:cs="Arial"/>
                <w:color w:val="0000FF"/>
                <w:sz w:val="22"/>
                <w:szCs w:val="22"/>
              </w:rPr>
            </w:pPr>
          </w:p>
          <w:p w14:paraId="625C330E" w14:textId="77777777" w:rsidR="009E5D82" w:rsidRDefault="009E5D82">
            <w:pPr>
              <w:pStyle w:val="BodyTextIndent"/>
              <w:widowControl w:val="0"/>
              <w:ind w:left="0" w:firstLine="0"/>
              <w:rPr>
                <w:rFonts w:ascii="Arial" w:hAnsi="Arial" w:cs="Arial"/>
                <w:color w:val="0000FF"/>
                <w:sz w:val="22"/>
                <w:szCs w:val="22"/>
              </w:rPr>
            </w:pPr>
          </w:p>
          <w:p w14:paraId="061F9A99" w14:textId="77777777" w:rsidR="009E5D82" w:rsidRDefault="009E5D82">
            <w:pPr>
              <w:pStyle w:val="BodyTextIndent"/>
              <w:widowControl w:val="0"/>
              <w:ind w:left="0" w:firstLine="0"/>
              <w:rPr>
                <w:rFonts w:ascii="Arial" w:hAnsi="Arial" w:cs="Arial"/>
                <w:color w:val="0000FF"/>
                <w:sz w:val="22"/>
                <w:szCs w:val="22"/>
              </w:rPr>
            </w:pPr>
          </w:p>
          <w:p w14:paraId="057A9263" w14:textId="77777777" w:rsidR="009E5D82" w:rsidRDefault="009E5D82">
            <w:pPr>
              <w:pStyle w:val="BodyTextIndent"/>
              <w:widowControl w:val="0"/>
              <w:ind w:left="0" w:firstLine="0"/>
              <w:rPr>
                <w:rFonts w:ascii="Arial" w:hAnsi="Arial" w:cs="Arial"/>
                <w:color w:val="0000FF"/>
                <w:sz w:val="22"/>
                <w:szCs w:val="22"/>
              </w:rPr>
            </w:pPr>
          </w:p>
          <w:p w14:paraId="4A4E9949" w14:textId="77777777" w:rsidR="009E5D82" w:rsidRDefault="009E5D82">
            <w:pPr>
              <w:pStyle w:val="BodyTextIndent"/>
              <w:widowControl w:val="0"/>
              <w:ind w:left="0" w:firstLine="0"/>
              <w:rPr>
                <w:rFonts w:ascii="Arial" w:hAnsi="Arial" w:cs="Arial"/>
                <w:color w:val="0000FF"/>
                <w:sz w:val="22"/>
                <w:szCs w:val="22"/>
              </w:rPr>
            </w:pPr>
          </w:p>
        </w:tc>
      </w:tr>
    </w:tbl>
    <w:p w14:paraId="59C6BF2F" w14:textId="77777777" w:rsidR="00AD76AD" w:rsidRDefault="00AD76AD">
      <w:pPr>
        <w:pStyle w:val="BodyTextIndent"/>
        <w:spacing w:before="120" w:after="120"/>
        <w:ind w:left="0" w:firstLine="0"/>
        <w:rPr>
          <w:rFonts w:ascii="Arial" w:hAnsi="Arial" w:cs="Arial"/>
          <w:b/>
          <w:color w:val="000000"/>
          <w:szCs w:val="24"/>
        </w:rPr>
      </w:pPr>
    </w:p>
    <w:p w14:paraId="20B7D202" w14:textId="77777777" w:rsidR="00AD76AD" w:rsidRDefault="00AD76AD">
      <w:pPr>
        <w:rPr>
          <w:rFonts w:ascii="Arial" w:eastAsia="Times" w:hAnsi="Arial" w:cs="Arial"/>
          <w:b/>
          <w:color w:val="000000"/>
          <w:lang w:eastAsia="en-GB"/>
        </w:rPr>
      </w:pPr>
      <w:r>
        <w:rPr>
          <w:rFonts w:ascii="Arial" w:hAnsi="Arial" w:cs="Arial"/>
          <w:b/>
          <w:color w:val="000000"/>
        </w:rPr>
        <w:br w:type="page"/>
      </w:r>
    </w:p>
    <w:p w14:paraId="2B6EC3BD" w14:textId="38A157F3" w:rsidR="009E5D82" w:rsidRDefault="007B5EE9">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5357E1B2" w14:textId="77777777" w:rsidR="009E5D82" w:rsidRDefault="007B5EE9">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ayout w:type="fixed"/>
        <w:tblLook w:val="04A0" w:firstRow="1" w:lastRow="0" w:firstColumn="1" w:lastColumn="0" w:noHBand="0" w:noVBand="1"/>
      </w:tblPr>
      <w:tblGrid>
        <w:gridCol w:w="9072"/>
      </w:tblGrid>
      <w:tr w:rsidR="009E5D82" w14:paraId="04E0000F" w14:textId="77777777">
        <w:tc>
          <w:tcPr>
            <w:tcW w:w="9072" w:type="dxa"/>
            <w:shd w:val="clear" w:color="auto" w:fill="auto"/>
          </w:tcPr>
          <w:p w14:paraId="6D7A38C0" w14:textId="744F51A5" w:rsidR="009E5D82" w:rsidRDefault="00AD76AD">
            <w:pPr>
              <w:widowControl w:val="0"/>
              <w:spacing w:before="120" w:after="120"/>
              <w:rPr>
                <w:rFonts w:ascii="Arial" w:hAnsi="Arial" w:cs="Arial"/>
                <w:bCs/>
                <w:sz w:val="22"/>
                <w:szCs w:val="22"/>
              </w:rPr>
            </w:pPr>
            <w:r w:rsidRPr="00AD76AD">
              <w:rPr>
                <w:rFonts w:ascii="Arial" w:hAnsi="Arial" w:cs="Arial"/>
                <w:bCs/>
                <w:sz w:val="22"/>
                <w:szCs w:val="22"/>
              </w:rPr>
              <w:t>2023.048B.N.v1.Munstervirinae_nsf.xlsx</w:t>
            </w:r>
          </w:p>
        </w:tc>
      </w:tr>
    </w:tbl>
    <w:p w14:paraId="206EFEEA" w14:textId="77777777" w:rsidR="009E5D82" w:rsidRDefault="007B5EE9">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ayout w:type="fixed"/>
        <w:tblLook w:val="04A0" w:firstRow="1" w:lastRow="0" w:firstColumn="1" w:lastColumn="0" w:noHBand="0" w:noVBand="1"/>
      </w:tblPr>
      <w:tblGrid>
        <w:gridCol w:w="9072"/>
      </w:tblGrid>
      <w:tr w:rsidR="009E5D82" w14:paraId="58F453F3" w14:textId="77777777">
        <w:tc>
          <w:tcPr>
            <w:tcW w:w="9072" w:type="dxa"/>
            <w:shd w:val="clear" w:color="auto" w:fill="auto"/>
          </w:tcPr>
          <w:p w14:paraId="7D948676" w14:textId="21FC0A4C" w:rsidR="009E5D82" w:rsidRPr="00AD76AD" w:rsidRDefault="007B5EE9" w:rsidP="00AD76AD">
            <w:pPr>
              <w:widowControl w:val="0"/>
              <w:rPr>
                <w:rFonts w:ascii="Arial" w:hAnsi="Arial" w:cs="Arial"/>
                <w:bCs/>
                <w:sz w:val="22"/>
                <w:szCs w:val="22"/>
              </w:rPr>
            </w:pPr>
            <w:r w:rsidRPr="00C22DC3">
              <w:rPr>
                <w:rFonts w:ascii="Arial" w:hAnsi="Arial" w:cs="Arial"/>
                <w:bCs/>
                <w:sz w:val="22"/>
                <w:szCs w:val="22"/>
              </w:rPr>
              <w:t>Here, we propose the creation of a new subfamily “</w:t>
            </w:r>
            <w:r w:rsidR="00C22DC3" w:rsidRPr="00C22DC3">
              <w:rPr>
                <w:rFonts w:ascii="Arial" w:hAnsi="Arial" w:cs="Arial"/>
                <w:color w:val="000000"/>
                <w:sz w:val="22"/>
                <w:szCs w:val="22"/>
                <w:shd w:val="clear" w:color="auto" w:fill="FFFFFF"/>
              </w:rPr>
              <w:t>Munstervirnae</w:t>
            </w:r>
            <w:r w:rsidRPr="00C22DC3">
              <w:rPr>
                <w:rFonts w:ascii="Arial" w:hAnsi="Arial" w:cs="Arial"/>
                <w:bCs/>
                <w:sz w:val="22"/>
                <w:szCs w:val="22"/>
              </w:rPr>
              <w:t>” comprising four new genera, the new genera “</w:t>
            </w:r>
            <w:r w:rsidR="00FB0FC4">
              <w:rPr>
                <w:rFonts w:ascii="Arial" w:hAnsi="Arial" w:cs="Arial"/>
                <w:bCs/>
                <w:sz w:val="22"/>
                <w:szCs w:val="22"/>
              </w:rPr>
              <w:t>Ahaonvirus</w:t>
            </w:r>
            <w:r w:rsidRPr="00C22DC3">
              <w:rPr>
                <w:rFonts w:ascii="Arial" w:hAnsi="Arial" w:cs="Arial"/>
                <w:bCs/>
                <w:sz w:val="22"/>
                <w:szCs w:val="22"/>
              </w:rPr>
              <w:t>” and “</w:t>
            </w:r>
            <w:r w:rsidR="00FB0FC4">
              <w:rPr>
                <w:rFonts w:ascii="Arial" w:hAnsi="Arial" w:cs="Arial"/>
                <w:color w:val="000000"/>
                <w:sz w:val="22"/>
                <w:szCs w:val="22"/>
                <w:shd w:val="clear" w:color="auto" w:fill="FFFFFF"/>
              </w:rPr>
              <w:t>Adovirus</w:t>
            </w:r>
            <w:r w:rsidRPr="00C22DC3">
              <w:rPr>
                <w:rFonts w:ascii="Arial" w:hAnsi="Arial" w:cs="Arial"/>
                <w:bCs/>
                <w:sz w:val="22"/>
                <w:szCs w:val="22"/>
              </w:rPr>
              <w:t>” both comprising two new species and the new genera “</w:t>
            </w:r>
            <w:r w:rsidR="00FB0FC4">
              <w:rPr>
                <w:rFonts w:ascii="Arial" w:hAnsi="Arial" w:cs="Arial"/>
                <w:color w:val="000000"/>
                <w:sz w:val="22"/>
                <w:szCs w:val="22"/>
                <w:shd w:val="clear" w:color="auto" w:fill="FFFFFF"/>
              </w:rPr>
              <w:t>Atrivirus</w:t>
            </w:r>
            <w:r w:rsidRPr="00C22DC3">
              <w:rPr>
                <w:rFonts w:ascii="Arial" w:hAnsi="Arial" w:cs="Arial"/>
                <w:bCs/>
                <w:sz w:val="22"/>
                <w:szCs w:val="22"/>
              </w:rPr>
              <w:t>” and “</w:t>
            </w:r>
            <w:r w:rsidR="00FB0FC4">
              <w:rPr>
                <w:rFonts w:ascii="Arial" w:hAnsi="Arial" w:cs="Arial"/>
                <w:bCs/>
                <w:sz w:val="22"/>
                <w:szCs w:val="22"/>
              </w:rPr>
              <w:t>Aceathervirus</w:t>
            </w:r>
            <w:r w:rsidRPr="00C22DC3">
              <w:rPr>
                <w:rFonts w:ascii="Arial" w:hAnsi="Arial" w:cs="Arial"/>
                <w:bCs/>
                <w:sz w:val="22"/>
                <w:szCs w:val="22"/>
              </w:rPr>
              <w:t>”, each containing one new species. These proposals are based on genomic comparisons.</w:t>
            </w:r>
          </w:p>
          <w:p w14:paraId="45F74CA9" w14:textId="77777777" w:rsidR="009E5D82" w:rsidRDefault="009E5D82">
            <w:pPr>
              <w:widowControl w:val="0"/>
              <w:rPr>
                <w:rFonts w:ascii="Arial" w:hAnsi="Arial" w:cs="Arial"/>
                <w:b/>
                <w:sz w:val="22"/>
                <w:szCs w:val="22"/>
              </w:rPr>
            </w:pPr>
          </w:p>
          <w:p w14:paraId="3B44C989" w14:textId="77777777" w:rsidR="009E5D82" w:rsidRDefault="009E5D82">
            <w:pPr>
              <w:widowControl w:val="0"/>
              <w:rPr>
                <w:rFonts w:ascii="Arial" w:hAnsi="Arial" w:cs="Arial"/>
                <w:b/>
                <w:sz w:val="22"/>
                <w:szCs w:val="22"/>
              </w:rPr>
            </w:pPr>
          </w:p>
        </w:tc>
      </w:tr>
    </w:tbl>
    <w:p w14:paraId="3045808C" w14:textId="77777777" w:rsidR="009E5D82" w:rsidRDefault="007B5EE9">
      <w:pPr>
        <w:pStyle w:val="BodyTextIndent"/>
        <w:spacing w:before="120" w:after="120"/>
        <w:ind w:left="0" w:firstLine="0"/>
        <w:rPr>
          <w:b/>
          <w:szCs w:val="24"/>
        </w:rPr>
      </w:pPr>
      <w:r>
        <w:rPr>
          <w:rFonts w:ascii="Arial" w:hAnsi="Arial" w:cs="Arial"/>
          <w:b/>
          <w:color w:val="000000"/>
          <w:szCs w:val="24"/>
        </w:rPr>
        <w:t>Text of proposal</w:t>
      </w:r>
    </w:p>
    <w:tbl>
      <w:tblPr>
        <w:tblW w:w="9228" w:type="dxa"/>
        <w:tblLayout w:type="fixed"/>
        <w:tblLook w:val="04A0" w:firstRow="1" w:lastRow="0" w:firstColumn="1" w:lastColumn="0" w:noHBand="0" w:noVBand="1"/>
      </w:tblPr>
      <w:tblGrid>
        <w:gridCol w:w="9228"/>
      </w:tblGrid>
      <w:tr w:rsidR="009E5D82" w14:paraId="63882156" w14:textId="77777777">
        <w:trPr>
          <w:trHeight w:val="1566"/>
        </w:trPr>
        <w:tc>
          <w:tcPr>
            <w:tcW w:w="9228" w:type="dxa"/>
            <w:shd w:val="clear" w:color="auto" w:fill="auto"/>
          </w:tcPr>
          <w:p w14:paraId="75614A95" w14:textId="77777777" w:rsidR="009E5D82" w:rsidRDefault="009E5D82" w:rsidP="00D3281C">
            <w:pPr>
              <w:pStyle w:val="BodyTextIndent"/>
              <w:widowControl w:val="0"/>
              <w:spacing w:after="120"/>
              <w:ind w:left="0" w:firstLine="0"/>
              <w:rPr>
                <w:rFonts w:ascii="Arial" w:hAnsi="Arial" w:cs="Arial"/>
                <w:color w:val="0000FF"/>
                <w:sz w:val="20"/>
              </w:rPr>
            </w:pPr>
          </w:p>
          <w:tbl>
            <w:tblPr>
              <w:tblStyle w:val="TableGrid"/>
              <w:tblW w:w="9002" w:type="dxa"/>
              <w:tblLayout w:type="fixed"/>
              <w:tblLook w:val="04A0" w:firstRow="1" w:lastRow="0" w:firstColumn="1" w:lastColumn="0" w:noHBand="0" w:noVBand="1"/>
            </w:tblPr>
            <w:tblGrid>
              <w:gridCol w:w="9002"/>
            </w:tblGrid>
            <w:tr w:rsidR="009E5D82" w14:paraId="1FB941DA" w14:textId="77777777">
              <w:tc>
                <w:tcPr>
                  <w:tcW w:w="9002" w:type="dxa"/>
                  <w:shd w:val="clear" w:color="auto" w:fill="auto"/>
                </w:tcPr>
                <w:p w14:paraId="30771A29" w14:textId="77777777" w:rsidR="009E5D82" w:rsidRDefault="009E5D82">
                  <w:pPr>
                    <w:widowControl w:val="0"/>
                    <w:rPr>
                      <w:rFonts w:ascii="Arial" w:hAnsi="Arial" w:cs="Arial"/>
                      <w:color w:val="0000FF"/>
                      <w:sz w:val="22"/>
                      <w:szCs w:val="22"/>
                    </w:rPr>
                  </w:pPr>
                </w:p>
                <w:p w14:paraId="64335D40" w14:textId="77777777" w:rsidR="009E5D82" w:rsidRDefault="009E5D82">
                  <w:pPr>
                    <w:widowControl w:val="0"/>
                    <w:rPr>
                      <w:rFonts w:ascii="Arial" w:hAnsi="Arial" w:cs="Arial"/>
                      <w:color w:val="0000FF"/>
                      <w:sz w:val="22"/>
                      <w:szCs w:val="22"/>
                    </w:rPr>
                  </w:pPr>
                </w:p>
                <w:p w14:paraId="218D4F98" w14:textId="77777777" w:rsidR="009E5D82" w:rsidRDefault="009E5D82">
                  <w:pPr>
                    <w:widowControl w:val="0"/>
                    <w:rPr>
                      <w:rFonts w:ascii="Arial" w:hAnsi="Arial" w:cs="Arial"/>
                      <w:color w:val="0000FF"/>
                      <w:sz w:val="22"/>
                      <w:szCs w:val="22"/>
                    </w:rPr>
                  </w:pPr>
                </w:p>
                <w:p w14:paraId="453350E9" w14:textId="77777777" w:rsidR="009E5D82" w:rsidRDefault="009E5D82">
                  <w:pPr>
                    <w:widowControl w:val="0"/>
                    <w:rPr>
                      <w:rFonts w:ascii="Arial" w:hAnsi="Arial" w:cs="Arial"/>
                      <w:color w:val="0000FF"/>
                      <w:sz w:val="22"/>
                      <w:szCs w:val="22"/>
                    </w:rPr>
                  </w:pPr>
                </w:p>
                <w:p w14:paraId="5CB3DA8D" w14:textId="77777777" w:rsidR="009E5D82" w:rsidRDefault="009E5D82">
                  <w:pPr>
                    <w:widowControl w:val="0"/>
                    <w:rPr>
                      <w:rFonts w:ascii="Arial" w:hAnsi="Arial" w:cs="Arial"/>
                      <w:color w:val="0000FF"/>
                      <w:sz w:val="22"/>
                      <w:szCs w:val="22"/>
                    </w:rPr>
                  </w:pPr>
                </w:p>
                <w:p w14:paraId="7AD4403D" w14:textId="77777777" w:rsidR="009E5D82" w:rsidRDefault="009E5D82">
                  <w:pPr>
                    <w:widowControl w:val="0"/>
                    <w:rPr>
                      <w:rFonts w:ascii="Arial" w:hAnsi="Arial" w:cs="Arial"/>
                      <w:color w:val="0000FF"/>
                      <w:sz w:val="22"/>
                      <w:szCs w:val="22"/>
                    </w:rPr>
                  </w:pPr>
                </w:p>
                <w:p w14:paraId="029CF547" w14:textId="77777777" w:rsidR="009E5D82" w:rsidRDefault="009E5D82">
                  <w:pPr>
                    <w:widowControl w:val="0"/>
                    <w:rPr>
                      <w:rFonts w:ascii="Arial" w:hAnsi="Arial" w:cs="Arial"/>
                      <w:color w:val="0000FF"/>
                      <w:sz w:val="22"/>
                      <w:szCs w:val="22"/>
                    </w:rPr>
                  </w:pPr>
                </w:p>
                <w:p w14:paraId="5A7A4516" w14:textId="77777777" w:rsidR="009E5D82" w:rsidRDefault="009E5D82">
                  <w:pPr>
                    <w:widowControl w:val="0"/>
                    <w:rPr>
                      <w:rFonts w:ascii="Arial" w:hAnsi="Arial" w:cs="Arial"/>
                      <w:color w:val="0000FF"/>
                      <w:sz w:val="22"/>
                      <w:szCs w:val="22"/>
                    </w:rPr>
                  </w:pPr>
                </w:p>
              </w:tc>
            </w:tr>
          </w:tbl>
          <w:p w14:paraId="211FFF0C" w14:textId="77777777" w:rsidR="009E5D82" w:rsidRDefault="009E5D82">
            <w:pPr>
              <w:widowControl w:val="0"/>
              <w:rPr>
                <w:rFonts w:ascii="Arial" w:hAnsi="Arial" w:cs="Arial"/>
                <w:color w:val="0000FF"/>
                <w:sz w:val="20"/>
              </w:rPr>
            </w:pPr>
          </w:p>
        </w:tc>
      </w:tr>
    </w:tbl>
    <w:p w14:paraId="436B5A05" w14:textId="77777777" w:rsidR="00AD76AD" w:rsidRDefault="00AD76AD">
      <w:pPr>
        <w:pStyle w:val="BodyTextIndent"/>
        <w:spacing w:before="120" w:after="120"/>
        <w:ind w:left="0" w:firstLine="0"/>
        <w:rPr>
          <w:rFonts w:ascii="Arial" w:hAnsi="Arial" w:cs="Arial"/>
          <w:b/>
          <w:color w:val="000000"/>
          <w:szCs w:val="24"/>
        </w:rPr>
      </w:pPr>
    </w:p>
    <w:p w14:paraId="7873BFFF" w14:textId="5D23D9E7" w:rsidR="009E5D82" w:rsidRDefault="007B5EE9">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B999F16" w14:textId="77777777" w:rsidR="009E5D82" w:rsidRDefault="009E5D82">
      <w:pPr>
        <w:pStyle w:val="BodyTextIndent"/>
        <w:spacing w:before="120" w:after="120"/>
        <w:ind w:left="0" w:firstLine="0"/>
        <w:rPr>
          <w:rFonts w:ascii="Arial" w:hAnsi="Arial"/>
          <w:color w:val="0000FF"/>
          <w:sz w:val="20"/>
        </w:rPr>
      </w:pPr>
    </w:p>
    <w:p w14:paraId="1F78D5CD" w14:textId="77777777" w:rsidR="009E5D82" w:rsidRPr="00D3281C" w:rsidRDefault="007B5EE9">
      <w:pPr>
        <w:pStyle w:val="BodyTextIndent"/>
        <w:spacing w:before="120" w:after="120"/>
        <w:ind w:left="0" w:firstLine="0"/>
        <w:rPr>
          <w:rFonts w:ascii="Arial" w:hAnsi="Arial" w:cs="Arial"/>
          <w:color w:val="000000" w:themeColor="text1"/>
          <w:sz w:val="20"/>
        </w:rPr>
      </w:pPr>
      <w:r w:rsidRPr="00D3281C">
        <w:rPr>
          <w:rFonts w:ascii="Arial" w:hAnsi="Arial" w:cs="Arial"/>
          <w:b/>
          <w:color w:val="000000" w:themeColor="text1"/>
          <w:sz w:val="20"/>
        </w:rPr>
        <w:t>Source of the names used for taxa:</w:t>
      </w:r>
    </w:p>
    <w:p w14:paraId="79AEE5E5" w14:textId="77777777" w:rsidR="009E5D82" w:rsidRPr="00E61AE1" w:rsidRDefault="00B85692">
      <w:pPr>
        <w:jc w:val="both"/>
        <w:rPr>
          <w:rFonts w:ascii="Arial" w:eastAsiaTheme="majorEastAsia" w:hAnsi="Arial" w:cs="Arial"/>
          <w:color w:val="000000" w:themeColor="text1"/>
          <w:sz w:val="20"/>
          <w:szCs w:val="20"/>
          <w:lang w:val="en-GB"/>
        </w:rPr>
      </w:pPr>
      <w:r w:rsidRPr="00933E04">
        <w:rPr>
          <w:rFonts w:ascii="Arial" w:hAnsi="Arial" w:cs="Arial"/>
          <w:b/>
          <w:i/>
          <w:color w:val="000000"/>
          <w:sz w:val="20"/>
          <w:szCs w:val="20"/>
          <w:shd w:val="clear" w:color="auto" w:fill="FFFFFF"/>
        </w:rPr>
        <w:t>Munstervirnae</w:t>
      </w:r>
      <w:r w:rsidR="007B5EE9" w:rsidRPr="00E61AE1">
        <w:rPr>
          <w:rFonts w:ascii="Arial" w:hAnsi="Arial" w:cs="Arial"/>
          <w:b/>
          <w:sz w:val="20"/>
          <w:szCs w:val="20"/>
        </w:rPr>
        <w:t xml:space="preserve">: </w:t>
      </w:r>
      <w:r w:rsidR="007B5EE9" w:rsidRPr="00E61AE1">
        <w:rPr>
          <w:rFonts w:ascii="Arial" w:hAnsi="Arial" w:cs="Arial"/>
          <w:sz w:val="20"/>
          <w:szCs w:val="20"/>
        </w:rPr>
        <w:t xml:space="preserve">The name is </w:t>
      </w:r>
      <w:r w:rsidRPr="00E61AE1">
        <w:rPr>
          <w:rFonts w:ascii="Arial" w:hAnsi="Arial" w:cs="Arial"/>
          <w:sz w:val="20"/>
          <w:szCs w:val="20"/>
        </w:rPr>
        <w:t xml:space="preserve">the province of Ireland where phages were first isolated </w:t>
      </w:r>
      <w:r w:rsidR="007B5EE9" w:rsidRPr="00E61AE1">
        <w:rPr>
          <w:rFonts w:ascii="Arial" w:hAnsi="Arial" w:cs="Arial"/>
          <w:sz w:val="20"/>
          <w:szCs w:val="20"/>
        </w:rPr>
        <w:fldChar w:fldCharType="begin"/>
      </w:r>
      <w:r w:rsidR="007B5EE9" w:rsidRPr="00E61AE1">
        <w:rPr>
          <w:rFonts w:ascii="Arial" w:hAnsi="Arial" w:cs="Arial"/>
          <w:sz w:val="20"/>
          <w:szCs w:val="20"/>
        </w:rPr>
        <w:instrText>ADDIN CSL_CITATION {"citationItems":[{"id":"ITEM-1","itemData":{"author":[{"dropping-particle":"","family":"Buttimer","given":"C.","non-dropping-particle":"","parse-names":false,"suffix":""},{"dropping-particle":"","family":"Khokhlova","given":"EV","non-dropping-particle":"","parse-names":false,"suffix":""},{"dropping-particle":"","family":"Stein","given":"L","non-dropping-particle":"","parse-names":false,"suffix":""},{"dropping-particle":"","family":"Hueston","given":"C","non-dropping-particle":"","parse-names":false,"suffix":""},{"dropping-particle":"","family":"Govi","given":"B","non-dropping-particle":"","parse-names":false,"suffix":""},{"dropping-particle":"","family":"Draper","given":"LA","non-dropping-particle":"","parse-names":false,"suffix":""},{"dropping-particle":"","family":"Ross","given":"RP","non-dropping-particle":"","parse-names":false,"suffix":""},{"dropping-particle":"","family":"Shkoporov","given":"AN","non-dropping-particle":"","parse-names":false,"suffix":""},{"dropping-particle":"","family":"Hill","given":"C","non-dropping-particle":"","parse-names":false,"suffix":""}],"id":"ITEM-1","issued":{"date-parts":[["0"]]},"title":"Temperate bacteriophages infecting the mucin-degrading bacterium Ruminococcus gnavus from the human gut","type":"article-journal"},"uris":["http://www.mendeley.com/documents/?uuid=93244b74-a40f-43ee-b9e7-9125578dc936"]}],"mendeley":{"formattedCitation":"[1]","plainTextFormattedCitation":"[1]","previouslyFormattedCitation":"[1]"},"properties":{"noteIndex":0},"schema":"https://github.com/citation-style-language/schema/raw/master/csl-citation.json"}</w:instrText>
      </w:r>
      <w:r w:rsidR="007B5EE9" w:rsidRPr="00E61AE1">
        <w:rPr>
          <w:rFonts w:ascii="Arial" w:hAnsi="Arial" w:cs="Arial"/>
          <w:sz w:val="20"/>
          <w:szCs w:val="20"/>
        </w:rPr>
        <w:fldChar w:fldCharType="separate"/>
      </w:r>
      <w:r w:rsidR="007B5EE9" w:rsidRPr="00E61AE1">
        <w:rPr>
          <w:rFonts w:ascii="Arial" w:hAnsi="Arial" w:cs="Arial"/>
          <w:sz w:val="20"/>
          <w:szCs w:val="20"/>
        </w:rPr>
        <w:t>[1]</w:t>
      </w:r>
      <w:r w:rsidR="007B5EE9" w:rsidRPr="00E61AE1">
        <w:rPr>
          <w:rFonts w:ascii="Arial" w:hAnsi="Arial" w:cs="Arial"/>
          <w:sz w:val="20"/>
          <w:szCs w:val="20"/>
        </w:rPr>
        <w:fldChar w:fldCharType="end"/>
      </w:r>
      <w:r w:rsidR="007B5EE9" w:rsidRPr="00E61AE1">
        <w:rPr>
          <w:rFonts w:ascii="Arial" w:hAnsi="Arial" w:cs="Arial"/>
          <w:sz w:val="20"/>
          <w:szCs w:val="20"/>
        </w:rPr>
        <w:t>.</w:t>
      </w:r>
      <w:r w:rsidR="007B5EE9" w:rsidRPr="00E61AE1">
        <w:rPr>
          <w:rFonts w:ascii="Arial" w:eastAsiaTheme="majorEastAsia" w:hAnsi="Arial" w:cs="Arial"/>
          <w:color w:val="000000" w:themeColor="text1"/>
          <w:sz w:val="20"/>
          <w:szCs w:val="20"/>
          <w:lang w:val="en-GB"/>
        </w:rPr>
        <w:t xml:space="preserve"> </w:t>
      </w:r>
    </w:p>
    <w:p w14:paraId="45B68CE2" w14:textId="77777777" w:rsidR="009E5D82" w:rsidRPr="00E61AE1" w:rsidRDefault="009E5D82">
      <w:pPr>
        <w:jc w:val="both"/>
        <w:rPr>
          <w:rFonts w:ascii="Arial" w:eastAsiaTheme="majorEastAsia" w:hAnsi="Arial" w:cs="Arial"/>
          <w:color w:val="000000" w:themeColor="text1"/>
          <w:sz w:val="20"/>
          <w:szCs w:val="20"/>
          <w:lang w:val="en-GB"/>
        </w:rPr>
      </w:pPr>
    </w:p>
    <w:p w14:paraId="07479C56" w14:textId="77777777" w:rsidR="009E5D82" w:rsidRPr="00FB0FC4" w:rsidRDefault="00FB0FC4">
      <w:pPr>
        <w:rPr>
          <w:rFonts w:ascii="Arial" w:hAnsi="Arial" w:cs="Arial"/>
          <w:sz w:val="22"/>
          <w:szCs w:val="22"/>
        </w:rPr>
      </w:pPr>
      <w:r>
        <w:rPr>
          <w:rFonts w:ascii="Arial" w:hAnsi="Arial" w:cs="Arial"/>
          <w:b/>
          <w:sz w:val="20"/>
          <w:szCs w:val="20"/>
          <w:lang w:val="en-GB"/>
        </w:rPr>
        <w:t xml:space="preserve">Genus names: </w:t>
      </w:r>
      <w:r w:rsidR="00F32487">
        <w:rPr>
          <w:rFonts w:ascii="Arial" w:hAnsi="Arial" w:cs="Arial"/>
          <w:sz w:val="20"/>
          <w:szCs w:val="20"/>
          <w:lang w:val="en-GB"/>
        </w:rPr>
        <w:t>D</w:t>
      </w:r>
      <w:r>
        <w:rPr>
          <w:rFonts w:ascii="Arial" w:hAnsi="Arial" w:cs="Arial"/>
          <w:sz w:val="20"/>
          <w:szCs w:val="20"/>
          <w:lang w:val="en-GB"/>
        </w:rPr>
        <w:t>erived from the names of numbers in the Irish language.</w:t>
      </w:r>
    </w:p>
    <w:p w14:paraId="614547BD" w14:textId="77777777" w:rsidR="009E5D82" w:rsidRPr="00D3281C" w:rsidRDefault="007B5EE9">
      <w:pPr>
        <w:pStyle w:val="BodyTextIndent"/>
        <w:spacing w:before="120" w:after="120"/>
        <w:ind w:left="0" w:firstLine="0"/>
        <w:rPr>
          <w:rFonts w:ascii="Arial" w:hAnsi="Arial" w:cs="Arial"/>
          <w:color w:val="000000" w:themeColor="text1"/>
          <w:sz w:val="20"/>
        </w:rPr>
      </w:pPr>
      <w:r w:rsidRPr="00D3281C">
        <w:rPr>
          <w:rFonts w:ascii="Arial" w:hAnsi="Arial" w:cs="Arial"/>
          <w:b/>
          <w:color w:val="000000" w:themeColor="text1"/>
          <w:sz w:val="20"/>
        </w:rPr>
        <w:t>Species demarcation criteria:</w:t>
      </w:r>
      <w:r w:rsidRPr="00D3281C">
        <w:rPr>
          <w:rFonts w:ascii="Arial" w:hAnsi="Arial" w:cs="Arial"/>
          <w:color w:val="000000" w:themeColor="text1"/>
          <w:sz w:val="20"/>
        </w:rPr>
        <w:t xml:space="preserve"> </w:t>
      </w:r>
    </w:p>
    <w:p w14:paraId="39DDF5DA" w14:textId="77777777" w:rsidR="009E5D82" w:rsidRDefault="007B5EE9">
      <w:pPr>
        <w:rPr>
          <w:rFonts w:ascii="Arial" w:hAnsi="Arial" w:cs="Arial"/>
          <w:sz w:val="20"/>
          <w:szCs w:val="20"/>
        </w:rPr>
      </w:pPr>
      <w:r>
        <w:rPr>
          <w:rFonts w:ascii="Arial" w:hAnsi="Arial" w:cs="Arial"/>
          <w:sz w:val="20"/>
          <w:szCs w:val="20"/>
        </w:rPr>
        <w:t xml:space="preserve">In this proposal, we have chosen 95% DNA sequence idenitity/similarity as the criterion for the demarcation of a species. Each proposed species genome differs by more than 5% in nucleotide identity/similarity as determined by the BLASTN algorithm and VIRIDIC (Table 1-2, Figure 2) </w:t>
      </w:r>
      <w:r>
        <w:fldChar w:fldCharType="begin"/>
      </w:r>
      <w:r>
        <w:rPr>
          <w:rFonts w:ascii="Arial" w:hAnsi="Arial" w:cs="Arial"/>
          <w:sz w:val="20"/>
          <w:szCs w:val="20"/>
        </w:rPr>
        <w:instrText>ADDIN CSL_CITATION {"citationItems":[{"id":"ITEM-1","itemData":{"DOI":"10.3390/V12111268","ISSN":"1999-4915","PMID":"33172115","abstract":"Nucleotide-based intergenomic similarities are useful to understand how viruses are related with each other and to classify them. Here we have developed VIRIDIC, which implements the traditional algorithm used by the International Committee on Taxonomy of Viruses (ICTV), Bacterial and Archaeal Viruses Subcommittee, to calculate virus intergenomic similarities. When compared with other software, VIRIDIC gave the best agreement with the traditional algorithm, which is based on the percent identity between two genomes determined by BLASTN. Furthermore, VIRIDIC proved best at estimating the relatedness between more distantly-related phages, relatedness that other tools can significantly overestimate. In addition to the intergenomic similarities, VIRIDIC also calculates three indicators of the alignment ability to capture the relatedness between viruses: the aligned fractions for each genome in a pair and the length ratio between the two genomes. The main output of VIRIDIC is a heatmap integrating the intergenomic similarity values with information regarding the genome lengths and the aligned genome fraction. Additionally, VIRIDIC can group viruses into clusters, based on user-defined intergenomic similarity thresholds. The sensitivity of VIRIDIC is given by the BLASTN. Thus, it is able to capture relationships between viruses having in common even short genomic regions, with as low as 65% similarity. Below this similarity level, protein-based analyses should be used, as they are the best suited to capture distant relationships. VIRIDIC is available at viridic.icbm.de, both as a web-service and a stand-alone tool. It allows fast analysis of large phage genome datasets, especially in the stand-alone version, which can be run on the user&amp;rsquo;s own servers and can be integrated in bioinformatics pipelines. VIRIDIC was developed having viruses of Bacteria and Archaea in mind; however, it could potentially be used for eukaryotic viruses as well, as long as they are monopartite.","author":[{"dropping-particle":"","family":"Moraru","given":"Cristina","non-dropping-particle":"","parse-names":false,"suffix":""},{"dropping-particle":"","family":"Varsani","given":"Arvind","non-dropping-particle":"","parse-names":false,"suffix":""},{"dropping-particle":"","family":"Kropinski","given":"Andrew M.","non-dropping-particle":"","parse-names":false,"suffix":""}],"container-title":"Viruses 2020, Vol. 12, Page 1268","id":"ITEM-1","issue":"11","issued":{"date-parts":[["2020","11","6"]]},"page":"1268","publisher":"Multidisciplinary Digital Publishing Institute","title":"VIRIDIC—A Novel Tool to Calculate the Intergenomic Similarities of Prokaryote-Infecting Viruses","type":"article-journal","volume":"12"},"uris":["http://www.mendeley.com/documents/?uuid=59baecf0-59ba-4bf9-869a-b5cae08b8c62"]}],"mendeley":{"formattedCitation":"[2]","plainTextFormattedCitation":"[2]","previouslyFormattedCitation":"[2]"},"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r>
        <w:rPr>
          <w:rFonts w:ascii="Arial" w:hAnsi="Arial" w:cs="Arial"/>
          <w:sz w:val="20"/>
          <w:szCs w:val="20"/>
        </w:rPr>
        <w:t>.</w:t>
      </w:r>
    </w:p>
    <w:p w14:paraId="132D7E05" w14:textId="77777777" w:rsidR="009E5D82" w:rsidRDefault="009E5D82">
      <w:pPr>
        <w:rPr>
          <w:rFonts w:ascii="Arial" w:hAnsi="Arial" w:cs="Arial"/>
          <w:sz w:val="20"/>
          <w:szCs w:val="20"/>
        </w:rPr>
      </w:pPr>
    </w:p>
    <w:p w14:paraId="534846C7" w14:textId="77777777" w:rsidR="009E5D82" w:rsidRPr="00D3281C" w:rsidRDefault="007B5EE9">
      <w:pPr>
        <w:pStyle w:val="BodyTextIndent"/>
        <w:spacing w:before="120" w:after="120"/>
        <w:ind w:left="0" w:firstLine="0"/>
        <w:rPr>
          <w:rFonts w:ascii="Arial" w:hAnsi="Arial" w:cs="Arial"/>
          <w:color w:val="000000" w:themeColor="text1"/>
          <w:sz w:val="20"/>
        </w:rPr>
      </w:pPr>
      <w:r w:rsidRPr="00D3281C">
        <w:rPr>
          <w:rFonts w:ascii="Arial" w:hAnsi="Arial" w:cs="Arial"/>
          <w:b/>
          <w:color w:val="000000" w:themeColor="text1"/>
          <w:sz w:val="20"/>
        </w:rPr>
        <w:t>Subfamily and genus demarcation criteria:</w:t>
      </w:r>
      <w:r w:rsidRPr="00D3281C">
        <w:rPr>
          <w:rFonts w:ascii="Arial" w:hAnsi="Arial" w:cs="Arial"/>
          <w:color w:val="000000" w:themeColor="text1"/>
          <w:sz w:val="20"/>
        </w:rPr>
        <w:t xml:space="preserve"> </w:t>
      </w:r>
    </w:p>
    <w:p w14:paraId="16D02CA4" w14:textId="77777777" w:rsidR="009E5D82" w:rsidRDefault="007B5EE9">
      <w:pPr>
        <w:pStyle w:val="BodyTextIndent"/>
        <w:spacing w:before="120" w:after="120"/>
        <w:ind w:left="0" w:firstLine="0"/>
        <w:rPr>
          <w:rFonts w:ascii="Arial" w:hAnsi="Arial"/>
          <w:color w:val="000000"/>
          <w:sz w:val="20"/>
        </w:rPr>
      </w:pPr>
      <w:r w:rsidRPr="00933E04">
        <w:rPr>
          <w:rFonts w:ascii="Arial" w:hAnsi="Arial"/>
          <w:i/>
          <w:color w:val="000000"/>
          <w:sz w:val="20"/>
        </w:rPr>
        <w:t>Ruminococcus</w:t>
      </w:r>
      <w:r>
        <w:rPr>
          <w:rFonts w:ascii="Arial" w:hAnsi="Arial"/>
          <w:color w:val="000000"/>
          <w:sz w:val="20"/>
        </w:rPr>
        <w:t xml:space="preserve"> phages phiRgPS_6, phiRgIBDN1, phiRg519T2, phiRg507T2_2, phiRg507T2_3 and phiRgRM10 are all temperate phages infecting </w:t>
      </w:r>
      <w:r w:rsidRPr="00B85692">
        <w:rPr>
          <w:rFonts w:ascii="Arial" w:hAnsi="Arial" w:cs="Arial"/>
          <w:i/>
          <w:iCs/>
          <w:color w:val="000000"/>
          <w:sz w:val="20"/>
        </w:rPr>
        <w:t>Ruminococ</w:t>
      </w:r>
      <w:r>
        <w:rPr>
          <w:rFonts w:ascii="Arial" w:hAnsi="Arial" w:cs="Arial"/>
          <w:i/>
          <w:iCs/>
          <w:color w:val="000000"/>
          <w:sz w:val="20"/>
        </w:rPr>
        <w:t>c</w:t>
      </w:r>
      <w:r w:rsidRPr="00B85692">
        <w:rPr>
          <w:rFonts w:ascii="Arial" w:hAnsi="Arial" w:cs="Arial"/>
          <w:i/>
          <w:iCs/>
          <w:color w:val="000000"/>
          <w:sz w:val="20"/>
        </w:rPr>
        <w:t>us gnavus</w:t>
      </w:r>
      <w:r>
        <w:rPr>
          <w:rFonts w:ascii="Arial" w:hAnsi="Arial" w:cs="Arial"/>
          <w:color w:val="000000"/>
          <w:sz w:val="20"/>
        </w:rPr>
        <w:t>. Genomes of these phages are homologous sharing &gt;50% nucleotide similarity and possessing gene synteny allowing their placement within a novel subfamily (Figure 2 &amp; 3). Nucleotide identity/similarity can be found between phages phiRg507T2_2 and phiRg507T2_3 on one hand, and phages phiRg519T2 and phiRgIBDN1 on the other, of &gt;70% allowing placement within two separate novel genera (Figure 2, Table 1 &amp; 2). Similarly, phages phiRgRM10 and phiRgPS_6 can be placed within their own separate novel genera (Figure 2). Nucleotide similarity of &gt;70% can be found between phage phiRgIBDN1 and phages phiRg507T2_2. The convention of placing phage into different genera based on the demarcation of sharing nucleotide identity/similarity of ≥70 can be difficult to apply to temperate phages due their more recombinogenic nature, as typified by phage phiRgIBDN. However, gene products related to DNA functions are more conserved between phage phiRgIBDN1 and phiRg519T2, indicating these phages are better placed within the same genus (Figure 4). Designation of proposed subfamily and genera are also supported by phylogenetic analysis using the proteome of these phages (Figure 5).</w:t>
      </w:r>
    </w:p>
    <w:p w14:paraId="4B4D5C14" w14:textId="77777777" w:rsidR="009E5D82" w:rsidRDefault="007B5EE9">
      <w:pPr>
        <w:pStyle w:val="BodyTextIndent"/>
        <w:spacing w:before="120" w:after="120"/>
        <w:ind w:left="0" w:firstLine="0"/>
        <w:rPr>
          <w:rFonts w:ascii="Arial" w:hAnsi="Arial"/>
          <w:color w:val="000000"/>
          <w:sz w:val="20"/>
        </w:rPr>
      </w:pPr>
      <w:r>
        <w:rPr>
          <w:rFonts w:ascii="Arial" w:hAnsi="Arial" w:cs="Arial"/>
          <w:color w:val="000000"/>
          <w:sz w:val="20"/>
        </w:rPr>
        <w:lastRenderedPageBreak/>
        <w:t xml:space="preserve">All phages with the proposed subfamily possess genomes that </w:t>
      </w:r>
      <w:r>
        <w:rPr>
          <w:rFonts w:ascii="Arial" w:eastAsia="Noto Serif CJK SC" w:hAnsi="Arial"/>
          <w:color w:val="000000"/>
          <w:kern w:val="2"/>
          <w:sz w:val="20"/>
          <w:szCs w:val="24"/>
          <w:lang w:val="en-GB" w:eastAsia="zh-CN" w:bidi="hi-IN"/>
        </w:rPr>
        <w:t xml:space="preserve">range between 36,510 and 37,780 bp with a GC content of 41-42%.  The number of open reading frames (ORFs) found on the genomes of these phages ranged from 54 to 59, with each possessing either one or two tRNA genes (Tables 1 to 4). All phages possess an integrase gene and have been demonstrated to be able to form prophage on the genome of their host bacterium </w:t>
      </w:r>
      <w:r>
        <w:fldChar w:fldCharType="begin"/>
      </w:r>
      <w:r>
        <w:rPr>
          <w:rFonts w:ascii="Arial" w:eastAsia="Noto Serif CJK SC" w:hAnsi="Arial"/>
          <w:color w:val="000000"/>
          <w:kern w:val="2"/>
          <w:sz w:val="20"/>
          <w:szCs w:val="24"/>
          <w:lang w:val="en-GB" w:eastAsia="zh-CN" w:bidi="hi-IN"/>
        </w:rPr>
        <w:instrText>ADDIN CSL_CITATION {"citationItems":[{"id":"ITEM-1","itemData":{"author":[{"dropping-particle":"","family":"Buttimer","given":"C.","non-dropping-particle":"","parse-names":false,"suffix":""},{"dropping-particle":"","family":"Khokhlova","given":"EV","non-dropping-particle":"","parse-names":false,"suffix":""},{"dropping-particle":"","family":"Stein","given":"L","non-dropping-particle":"","parse-names":false,"suffix":""},{"dropping-particle":"","family":"Hueston","given":"C","non-dropping-particle":"","parse-names":false,"suffix":""},{"dropping-particle":"","family":"Govi","given":"B","non-dropping-particle":"","parse-names":false,"suffix":""},{"dropping-particle":"","family":"Draper","given":"LA","non-dropping-particle":"","parse-names":false,"suffix":""},{"dropping-particle":"","family":"Ross","given":"RP","non-dropping-particle":"","parse-names":false,"suffix":""},{"dropping-particle":"","family":"Shkoporov","given":"AN","non-dropping-particle":"","parse-names":false,"suffix":""},{"dropping-particle":"","family":"Hill","given":"C","non-dropping-particle":"","parse-names":false,"suffix":""}],"id":"ITEM-1","issued":{"date-parts":[["0"]]},"title":"Temperate bacteriophages infecting the mucin-degrading bacterium Ruminococcus gnavus from the human gut","type":"article-journal"},"uris":["http://www.mendeley.com/documents/?uuid=93244b74-a40f-43ee-b9e7-9125578dc936"]}],"mendeley":{"formattedCitation":"[1]","plainTextFormattedCitation":"[1]","previouslyFormattedCitation":"[1]"},"properties":{"noteIndex":0},"schema":"https://github.com/citation-style-language/schema/raw/master/csl-citation.json"}</w:instrText>
      </w:r>
      <w:r>
        <w:rPr>
          <w:rFonts w:ascii="Arial" w:eastAsia="Noto Serif CJK SC" w:hAnsi="Arial"/>
          <w:color w:val="000000"/>
          <w:kern w:val="2"/>
          <w:sz w:val="20"/>
          <w:szCs w:val="24"/>
          <w:lang w:val="en-GB" w:eastAsia="zh-CN" w:bidi="hi-IN"/>
        </w:rPr>
        <w:fldChar w:fldCharType="separate"/>
      </w:r>
      <w:r>
        <w:rPr>
          <w:rFonts w:ascii="Arial" w:eastAsia="Noto Serif CJK SC" w:hAnsi="Arial"/>
          <w:color w:val="000000"/>
          <w:kern w:val="2"/>
          <w:sz w:val="20"/>
          <w:lang w:val="en-GB" w:eastAsia="zh-CN" w:bidi="hi-IN"/>
        </w:rPr>
        <w:t>[1]</w:t>
      </w:r>
      <w:r>
        <w:rPr>
          <w:rFonts w:ascii="Arial" w:eastAsia="Noto Serif CJK SC" w:hAnsi="Arial"/>
          <w:color w:val="000000"/>
          <w:kern w:val="2"/>
          <w:sz w:val="20"/>
          <w:szCs w:val="24"/>
          <w:lang w:val="en-GB" w:eastAsia="zh-CN" w:bidi="hi-IN"/>
        </w:rPr>
        <w:fldChar w:fldCharType="end"/>
      </w:r>
      <w:r>
        <w:rPr>
          <w:rFonts w:ascii="Arial" w:eastAsia="Noto Serif CJK SC" w:hAnsi="Arial"/>
          <w:color w:val="000000"/>
          <w:kern w:val="2"/>
          <w:sz w:val="20"/>
          <w:lang w:val="en-GB" w:eastAsia="zh-CN" w:bidi="hi-IN"/>
        </w:rPr>
        <w:t xml:space="preserve">. </w:t>
      </w:r>
      <w:r>
        <w:rPr>
          <w:rFonts w:ascii="Arial" w:hAnsi="Arial"/>
          <w:color w:val="000000"/>
          <w:sz w:val="20"/>
          <w:lang w:val="en-GB"/>
        </w:rPr>
        <w:t xml:space="preserve">Transmission electron microscopy of phiRgPS6, phiRg507T2_2,phiRg507T2_3 and phiRg519T2 revealed virions with a classic </w:t>
      </w:r>
      <w:r>
        <w:rPr>
          <w:rFonts w:ascii="Arial" w:hAnsi="Arial"/>
          <w:iCs/>
          <w:color w:val="000000"/>
          <w:sz w:val="20"/>
          <w:lang w:val="en-GB"/>
        </w:rPr>
        <w:t xml:space="preserve">siphovirus </w:t>
      </w:r>
      <w:r>
        <w:rPr>
          <w:rFonts w:ascii="Arial" w:hAnsi="Arial"/>
          <w:color w:val="000000"/>
          <w:sz w:val="20"/>
          <w:lang w:val="en-GB"/>
        </w:rPr>
        <w:t xml:space="preserve">morphology with icosahedral heads (55-61 nm in diameter), with long flexible non-contractile tails (195-204 nm) possessing very discreet baseplates (Figure 1) </w:t>
      </w:r>
      <w:r>
        <w:fldChar w:fldCharType="begin"/>
      </w:r>
      <w:r>
        <w:rPr>
          <w:rFonts w:ascii="Arial" w:hAnsi="Arial"/>
          <w:color w:val="000000"/>
          <w:sz w:val="20"/>
          <w:lang w:val="en-GB"/>
        </w:rPr>
        <w:instrText>ADDIN CSL_CITATION {"citationItems":[{"id":"ITEM-1","itemData":{"author":[{"dropping-particle":"","family":"Buttimer","given":"C.","non-dropping-particle":"","parse-names":false,"suffix":""},{"dropping-particle":"","family":"Khokhlova","given":"EV","non-dropping-particle":"","parse-names":false,"suffix":""},{"dropping-particle":"","family":"Stein","given":"L","non-dropping-particle":"","parse-names":false,"suffix":""},{"dropping-particle":"","family":"Hueston","given":"C","non-dropping-particle":"","parse-names":false,"suffix":""},{"dropping-particle":"","family":"Govi","given":"B","non-dropping-particle":"","parse-names":false,"suffix":""},{"dropping-particle":"","family":"Draper","given":"LA","non-dropping-particle":"","parse-names":false,"suffix":""},{"dropping-particle":"","family":"Ross","given":"RP","non-dropping-particle":"","parse-names":false,"suffix":""},{"dropping-particle":"","family":"Shkoporov","given":"AN","non-dropping-particle":"","parse-names":false,"suffix":""},{"dropping-particle":"","family":"Hill","given":"C","non-dropping-particle":"","parse-names":false,"suffix":""}],"id":"ITEM-1","issued":{"date-parts":[["0"]]},"title":"Temperate bacteriophages infecting the mucin-degrading bacterium Ruminococcus gnavus from the human gut","type":"article-journal"},"uris":["http://www.mendeley.com/documents/?uuid=93244b74-a40f-43ee-b9e7-9125578dc936"]}],"mendeley":{"formattedCitation":"[1]","plainTextFormattedCitation":"[1]","previouslyFormattedCitation":"[1]"},"properties":{"noteIndex":0},"schema":"https://github.com/citation-style-language/schema/raw/master/csl-citation.json"}</w:instrText>
      </w:r>
      <w:r>
        <w:rPr>
          <w:rFonts w:ascii="Arial" w:hAnsi="Arial"/>
          <w:color w:val="000000"/>
          <w:sz w:val="20"/>
          <w:lang w:val="en-GB"/>
        </w:rPr>
        <w:fldChar w:fldCharType="separate"/>
      </w:r>
      <w:r>
        <w:rPr>
          <w:rFonts w:ascii="Arial" w:hAnsi="Arial"/>
          <w:color w:val="000000"/>
          <w:sz w:val="20"/>
          <w:lang w:val="en-GB"/>
        </w:rPr>
        <w:t>[1]</w:t>
      </w:r>
      <w:r>
        <w:rPr>
          <w:rFonts w:ascii="Arial" w:hAnsi="Arial"/>
          <w:color w:val="000000"/>
          <w:sz w:val="20"/>
          <w:lang w:val="en-GB"/>
        </w:rPr>
        <w:fldChar w:fldCharType="end"/>
      </w:r>
      <w:r>
        <w:rPr>
          <w:rFonts w:ascii="Arial" w:hAnsi="Arial"/>
          <w:color w:val="000000"/>
          <w:sz w:val="20"/>
          <w:lang w:val="en-GB"/>
        </w:rPr>
        <w:t>.</w:t>
      </w:r>
    </w:p>
    <w:p w14:paraId="71D2568F" w14:textId="77777777" w:rsidR="009E5D82" w:rsidRDefault="009E5D82">
      <w:pPr>
        <w:rPr>
          <w:rFonts w:ascii="Arial" w:hAnsi="Arial" w:cs="Arial"/>
          <w:b/>
          <w:color w:val="0000FF"/>
          <w:sz w:val="20"/>
          <w:szCs w:val="20"/>
        </w:rPr>
      </w:pPr>
    </w:p>
    <w:p w14:paraId="2D4FB059" w14:textId="77777777" w:rsidR="009E5D82" w:rsidRPr="00D3281C" w:rsidRDefault="007B5EE9">
      <w:pPr>
        <w:rPr>
          <w:rFonts w:ascii="Arial" w:hAnsi="Arial" w:cs="Arial"/>
          <w:b/>
          <w:color w:val="000000" w:themeColor="text1"/>
          <w:sz w:val="20"/>
          <w:szCs w:val="20"/>
        </w:rPr>
      </w:pPr>
      <w:r w:rsidRPr="00D3281C">
        <w:rPr>
          <w:rFonts w:ascii="Arial" w:hAnsi="Arial" w:cs="Arial"/>
          <w:b/>
          <w:color w:val="000000" w:themeColor="text1"/>
          <w:sz w:val="20"/>
          <w:szCs w:val="20"/>
        </w:rPr>
        <w:t>History:</w:t>
      </w:r>
    </w:p>
    <w:p w14:paraId="652D1EAC" w14:textId="77777777" w:rsidR="009E5D82" w:rsidRDefault="007B5EE9">
      <w:pPr>
        <w:rPr>
          <w:rFonts w:ascii="Arial" w:hAnsi="Arial" w:cs="Arial"/>
          <w:sz w:val="20"/>
          <w:szCs w:val="20"/>
        </w:rPr>
      </w:pPr>
      <w:r>
        <w:rPr>
          <w:rFonts w:ascii="Arial" w:hAnsi="Arial" w:cs="Arial"/>
          <w:sz w:val="20"/>
          <w:szCs w:val="20"/>
        </w:rPr>
        <w:t xml:space="preserve">Isolation source of the phages forming the proposed subfamily of the </w:t>
      </w:r>
      <w:r w:rsidR="00680D9C" w:rsidRPr="00680D9C">
        <w:rPr>
          <w:rFonts w:ascii="Arial" w:hAnsi="Arial" w:cs="Arial"/>
          <w:i/>
          <w:color w:val="000000"/>
          <w:sz w:val="20"/>
          <w:szCs w:val="20"/>
          <w:shd w:val="clear" w:color="auto" w:fill="FFFFFF"/>
        </w:rPr>
        <w:t>Munstervirnae</w:t>
      </w:r>
      <w:r>
        <w:rPr>
          <w:rFonts w:ascii="Arial" w:hAnsi="Arial" w:cs="Arial"/>
          <w:sz w:val="20"/>
          <w:szCs w:val="20"/>
        </w:rPr>
        <w:t>:</w:t>
      </w:r>
    </w:p>
    <w:p w14:paraId="0EFE8C3F" w14:textId="77777777" w:rsidR="009E5D82" w:rsidRDefault="007B5EE9">
      <w:pPr>
        <w:pStyle w:val="ListParagraph"/>
        <w:numPr>
          <w:ilvl w:val="0"/>
          <w:numId w:val="2"/>
        </w:numPr>
        <w:rPr>
          <w:rFonts w:ascii="Arial" w:hAnsi="Arial" w:cs="Arial"/>
          <w:sz w:val="20"/>
          <w:szCs w:val="20"/>
        </w:rPr>
      </w:pPr>
      <w:r>
        <w:rPr>
          <w:rFonts w:ascii="Arial" w:hAnsi="Arial" w:cs="Arial"/>
          <w:sz w:val="20"/>
          <w:szCs w:val="20"/>
        </w:rPr>
        <w:t xml:space="preserve">Phage phiRgPS6 was isolated from a pooled human faecal sample in Co. Cork, Ireland </w:t>
      </w:r>
      <w:r>
        <w:fldChar w:fldCharType="begin"/>
      </w:r>
      <w:r>
        <w:rPr>
          <w:rFonts w:ascii="Arial" w:hAnsi="Arial" w:cs="Arial"/>
          <w:sz w:val="20"/>
          <w:szCs w:val="20"/>
        </w:rPr>
        <w:instrText>ADDIN CSL_CITATION {"citationItems":[{"id":"ITEM-1","itemData":{"author":[{"dropping-particle":"","family":"Buttimer","given":"C.","non-dropping-particle":"","parse-names":false,"suffix":""},{"dropping-particle":"","family":"Khokhlova","given":"EV","non-dropping-particle":"","parse-names":false,"suffix":""},{"dropping-particle":"","family":"Stein","given":"L","non-dropping-particle":"","parse-names":false,"suffix":""},{"dropping-particle":"","family":"Hueston","given":"C","non-dropping-particle":"","parse-names":false,"suffix":""},{"dropping-particle":"","family":"Govi","given":"B","non-dropping-particle":"","parse-names":false,"suffix":""},{"dropping-particle":"","family":"Draper","given":"LA","non-dropping-particle":"","parse-names":false,"suffix":""},{"dropping-particle":"","family":"Ross","given":"RP","non-dropping-particle":"","parse-names":false,"suffix":""},{"dropping-particle":"","family":"Shkoporov","given":"AN","non-dropping-particle":"","parse-names":false,"suffix":""},{"dropping-particle":"","family":"Hill","given":"C","non-dropping-particle":"","parse-names":false,"suffix":""}],"id":"ITEM-1","issued":{"date-parts":[["0"]]},"title":"Temperate bacteriophages infecting the mucin-degrading bacterium Ruminococcus gnavus from the human gut","type":"article-journal"},"uris":["http://www.mendeley.com/documents/?uuid=93244b74-a40f-43ee-b9e7-9125578dc936"]}],"mendeley":{"formattedCitation":"[1]","plainTextFormattedCitation":"[1]","previouslyFormattedCitation":"[1]"},"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Pr>
          <w:rFonts w:ascii="Arial" w:hAnsi="Arial" w:cs="Arial"/>
          <w:sz w:val="20"/>
          <w:szCs w:val="20"/>
        </w:rPr>
        <w:t>.</w:t>
      </w:r>
    </w:p>
    <w:p w14:paraId="5657059B" w14:textId="77777777" w:rsidR="009E5D82" w:rsidRDefault="007B5EE9">
      <w:pPr>
        <w:pStyle w:val="ListParagraph"/>
        <w:numPr>
          <w:ilvl w:val="0"/>
          <w:numId w:val="2"/>
        </w:numPr>
        <w:rPr>
          <w:rFonts w:ascii="Arial" w:hAnsi="Arial" w:cs="Arial"/>
          <w:sz w:val="20"/>
          <w:szCs w:val="20"/>
        </w:rPr>
      </w:pPr>
      <w:r>
        <w:rPr>
          <w:rFonts w:ascii="Arial" w:hAnsi="Arial" w:cs="Arial"/>
          <w:sz w:val="20"/>
          <w:szCs w:val="20"/>
        </w:rPr>
        <w:t xml:space="preserve">Phages phiRgIBDN1, phiRg519T2, phiRg507T2_2 and phiRg507T2/3 were isolated from the faeces of individuals suffering from inflammatory bowel disease in Co. Cork, Ireland </w:t>
      </w:r>
      <w:r>
        <w:fldChar w:fldCharType="begin"/>
      </w:r>
      <w:r>
        <w:rPr>
          <w:rFonts w:ascii="Arial" w:hAnsi="Arial" w:cs="Arial"/>
          <w:sz w:val="20"/>
          <w:szCs w:val="20"/>
        </w:rPr>
        <w:instrText>ADDIN CSL_CITATION {"citationItems":[{"id":"ITEM-1","itemData":{"author":[{"dropping-particle":"","family":"Buttimer","given":"C.","non-dropping-particle":"","parse-names":false,"suffix":""},{"dropping-particle":"","family":"Khokhlova","given":"EV","non-dropping-particle":"","parse-names":false,"suffix":""},{"dropping-particle":"","family":"Stein","given":"L","non-dropping-particle":"","parse-names":false,"suffix":""},{"dropping-particle":"","family":"Hueston","given":"C","non-dropping-particle":"","parse-names":false,"suffix":""},{"dropping-particle":"","family":"Govi","given":"B","non-dropping-particle":"","parse-names":false,"suffix":""},{"dropping-particle":"","family":"Draper","given":"LA","non-dropping-particle":"","parse-names":false,"suffix":""},{"dropping-particle":"","family":"Ross","given":"RP","non-dropping-particle":"","parse-names":false,"suffix":""},{"dropping-particle":"","family":"Shkoporov","given":"AN","non-dropping-particle":"","parse-names":false,"suffix":""},{"dropping-particle":"","family":"Hill","given":"C","non-dropping-particle":"","parse-names":false,"suffix":""}],"id":"ITEM-1","issued":{"date-parts":[["0"]]},"title":"Temperate bacteriophages infecting the mucin-degrading bacterium Ruminococcus gnavus from the human gut","type":"article-journal"},"uris":["http://www.mendeley.com/documents/?uuid=93244b74-a40f-43ee-b9e7-9125578dc936"]}],"mendeley":{"formattedCitation":"[1]","plainTextFormattedCitation":"[1]","previouslyFormattedCitation":"[1]"},"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Pr>
          <w:rFonts w:ascii="Arial" w:hAnsi="Arial" w:cs="Arial"/>
          <w:sz w:val="20"/>
          <w:szCs w:val="20"/>
        </w:rPr>
        <w:t>.</w:t>
      </w:r>
    </w:p>
    <w:p w14:paraId="637EF867" w14:textId="77777777" w:rsidR="009E5D82" w:rsidRDefault="007B5EE9">
      <w:pPr>
        <w:pStyle w:val="ListParagraph"/>
        <w:numPr>
          <w:ilvl w:val="0"/>
          <w:numId w:val="2"/>
        </w:numPr>
        <w:rPr>
          <w:rFonts w:ascii="Arial" w:hAnsi="Arial" w:cs="Arial"/>
          <w:sz w:val="20"/>
          <w:szCs w:val="20"/>
        </w:rPr>
      </w:pPr>
      <w:r>
        <w:rPr>
          <w:rFonts w:ascii="Arial" w:hAnsi="Arial" w:cs="Arial"/>
          <w:sz w:val="20"/>
          <w:szCs w:val="20"/>
        </w:rPr>
        <w:t xml:space="preserve">Phage phiRgRM10 was isolated from a sample obtained from a farm in Co. Tipperary, Ireland </w:t>
      </w:r>
      <w:r>
        <w:fldChar w:fldCharType="begin"/>
      </w:r>
      <w:r>
        <w:rPr>
          <w:rFonts w:ascii="Arial" w:hAnsi="Arial" w:cs="Arial"/>
          <w:sz w:val="20"/>
          <w:szCs w:val="20"/>
        </w:rPr>
        <w:instrText>ADDIN CSL_CITATION {"citationItems":[{"id":"ITEM-1","itemData":{"author":[{"dropping-particle":"","family":"Buttimer","given":"C.","non-dropping-particle":"","parse-names":false,"suffix":""},{"dropping-particle":"","family":"Khokhlova","given":"EV","non-dropping-particle":"","parse-names":false,"suffix":""},{"dropping-particle":"","family":"Stein","given":"L","non-dropping-particle":"","parse-names":false,"suffix":""},{"dropping-particle":"","family":"Hueston","given":"C","non-dropping-particle":"","parse-names":false,"suffix":""},{"dropping-particle":"","family":"Govi","given":"B","non-dropping-particle":"","parse-names":false,"suffix":""},{"dropping-particle":"","family":"Draper","given":"LA","non-dropping-particle":"","parse-names":false,"suffix":""},{"dropping-particle":"","family":"Ross","given":"RP","non-dropping-particle":"","parse-names":false,"suffix":""},{"dropping-particle":"","family":"Shkoporov","given":"AN","non-dropping-particle":"","parse-names":false,"suffix":""},{"dropping-particle":"","family":"Hill","given":"C","non-dropping-particle":"","parse-names":false,"suffix":""}],"id":"ITEM-1","issued":{"date-parts":[["0"]]},"title":"Temperate bacteriophages infecting the mucin-degrading bacterium Ruminococcus gnavus from the human gut","type":"article-journal"},"uris":["http://www.mendeley.com/documents/?uuid=93244b74-a40f-43ee-b9e7-9125578dc936"]}],"mendeley":{"formattedCitation":"[1]","plainTextFormattedCitation":"[1]","previouslyFormattedCitation":"[1]"},"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Pr>
          <w:rFonts w:ascii="Arial" w:hAnsi="Arial" w:cs="Arial"/>
          <w:sz w:val="20"/>
          <w:szCs w:val="20"/>
        </w:rPr>
        <w:t>.</w:t>
      </w:r>
    </w:p>
    <w:p w14:paraId="190C733E" w14:textId="77777777" w:rsidR="009E5D82" w:rsidRDefault="009E5D82">
      <w:pPr>
        <w:rPr>
          <w:rFonts w:ascii="Arial" w:hAnsi="Arial" w:cs="Arial"/>
          <w:b/>
          <w:color w:val="0000FF"/>
          <w:sz w:val="20"/>
          <w:szCs w:val="20"/>
        </w:rPr>
      </w:pPr>
    </w:p>
    <w:p w14:paraId="0DADD39D" w14:textId="77777777" w:rsidR="009E5D82" w:rsidRPr="00D3281C" w:rsidRDefault="007B5EE9">
      <w:pPr>
        <w:rPr>
          <w:rFonts w:ascii="Arial" w:hAnsi="Arial" w:cs="Arial"/>
          <w:b/>
          <w:color w:val="000000" w:themeColor="text1"/>
          <w:sz w:val="20"/>
          <w:szCs w:val="20"/>
        </w:rPr>
      </w:pPr>
      <w:r w:rsidRPr="00D3281C">
        <w:rPr>
          <w:rFonts w:ascii="Arial" w:hAnsi="Arial" w:cs="Arial"/>
          <w:b/>
          <w:color w:val="000000" w:themeColor="text1"/>
          <w:sz w:val="20"/>
          <w:szCs w:val="20"/>
        </w:rPr>
        <w:t>Electron micrograph:</w:t>
      </w:r>
    </w:p>
    <w:p w14:paraId="609BE974" w14:textId="77777777" w:rsidR="009E5D82" w:rsidRDefault="009E5D82">
      <w:pPr>
        <w:rPr>
          <w:rFonts w:ascii="Arial" w:hAnsi="Arial" w:cs="Arial"/>
          <w:b/>
          <w:color w:val="0000FF"/>
          <w:sz w:val="20"/>
          <w:szCs w:val="20"/>
        </w:rPr>
      </w:pPr>
    </w:p>
    <w:p w14:paraId="5857E28D" w14:textId="77777777" w:rsidR="009E5D82" w:rsidRDefault="009E5D82">
      <w:pPr>
        <w:rPr>
          <w:rFonts w:ascii="Arial" w:hAnsi="Arial"/>
          <w:sz w:val="20"/>
          <w:szCs w:val="20"/>
        </w:rPr>
      </w:pPr>
    </w:p>
    <w:p w14:paraId="3E9B2C24" w14:textId="77777777" w:rsidR="009E5D82" w:rsidRDefault="009E5D82">
      <w:pPr>
        <w:rPr>
          <w:rFonts w:ascii="Arial" w:hAnsi="Arial" w:cs="Arial"/>
          <w:b/>
          <w:color w:val="0000FF"/>
          <w:sz w:val="20"/>
          <w:szCs w:val="20"/>
        </w:rPr>
      </w:pPr>
    </w:p>
    <w:p w14:paraId="61F930A6" w14:textId="77777777" w:rsidR="009E5D82" w:rsidRDefault="007B5EE9">
      <w:pPr>
        <w:rPr>
          <w:rFonts w:ascii="Arial" w:hAnsi="Arial" w:cs="Arial"/>
          <w:b/>
          <w:color w:val="0000FF"/>
          <w:sz w:val="20"/>
          <w:szCs w:val="20"/>
        </w:rPr>
      </w:pPr>
      <w:r>
        <w:rPr>
          <w:noProof/>
          <w:lang w:val="en-IE" w:eastAsia="en-IE"/>
        </w:rPr>
        <w:drawing>
          <wp:inline distT="0" distB="0" distL="0" distR="0" wp14:anchorId="69F00548" wp14:editId="38078B79">
            <wp:extent cx="5731510" cy="1737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5731510" cy="1737995"/>
                    </a:xfrm>
                    <a:prstGeom prst="rect">
                      <a:avLst/>
                    </a:prstGeom>
                  </pic:spPr>
                </pic:pic>
              </a:graphicData>
            </a:graphic>
          </wp:inline>
        </w:drawing>
      </w:r>
    </w:p>
    <w:p w14:paraId="2FCC4CC3" w14:textId="77777777" w:rsidR="009E5D82" w:rsidRDefault="009E5D82">
      <w:pPr>
        <w:rPr>
          <w:rFonts w:ascii="Arial" w:hAnsi="Arial" w:cs="Arial"/>
          <w:b/>
          <w:color w:val="0000FF"/>
          <w:sz w:val="20"/>
          <w:szCs w:val="20"/>
        </w:rPr>
      </w:pPr>
    </w:p>
    <w:p w14:paraId="4BA9A35D" w14:textId="77777777" w:rsidR="009E5D82" w:rsidRDefault="007B5EE9">
      <w:pPr>
        <w:rPr>
          <w:rFonts w:ascii="Arial" w:hAnsi="Arial" w:cs="Arial"/>
          <w:sz w:val="20"/>
          <w:szCs w:val="20"/>
        </w:rPr>
      </w:pPr>
      <w:r>
        <w:rPr>
          <w:rFonts w:ascii="Arial" w:hAnsi="Arial" w:cs="Arial"/>
          <w:b/>
          <w:sz w:val="20"/>
          <w:szCs w:val="20"/>
        </w:rPr>
        <w:t xml:space="preserve">Figure 1. </w:t>
      </w:r>
      <w:r>
        <w:rPr>
          <w:rFonts w:ascii="Arial" w:hAnsi="Arial" w:cs="Arial"/>
          <w:sz w:val="20"/>
          <w:szCs w:val="20"/>
        </w:rPr>
        <w:t xml:space="preserve">Transmission electron micrographs. The micrographs of </w:t>
      </w:r>
      <w:r w:rsidRPr="00680D9C">
        <w:rPr>
          <w:rFonts w:ascii="Arial" w:hAnsi="Arial" w:cs="Arial"/>
          <w:i/>
          <w:sz w:val="20"/>
          <w:szCs w:val="20"/>
        </w:rPr>
        <w:t>Ruminococcus gnavus</w:t>
      </w:r>
      <w:r>
        <w:rPr>
          <w:rFonts w:ascii="Arial" w:hAnsi="Arial" w:cs="Arial"/>
          <w:sz w:val="20"/>
          <w:szCs w:val="20"/>
        </w:rPr>
        <w:t xml:space="preserve"> phages (A) phiRg507T2_2, (B) phiRg507T2_3, and (C) phiRgPS_6. Phages where negatively stained with 0.5% w/v uranyl acetate. The scale represents 100 nm </w:t>
      </w:r>
      <w:r>
        <w:fldChar w:fldCharType="begin"/>
      </w:r>
      <w:r>
        <w:rPr>
          <w:rFonts w:ascii="Arial" w:hAnsi="Arial" w:cs="Arial"/>
          <w:sz w:val="20"/>
          <w:szCs w:val="20"/>
        </w:rPr>
        <w:instrText>ADDIN CSL_CITATION {"citationItems":[{"id":"ITEM-1","itemData":{"author":[{"dropping-particle":"","family":"Buttimer","given":"C.","non-dropping-particle":"","parse-names":false,"suffix":""},{"dropping-particle":"","family":"Khokhlova","given":"EV","non-dropping-particle":"","parse-names":false,"suffix":""},{"dropping-particle":"","family":"Stein","given":"L","non-dropping-particle":"","parse-names":false,"suffix":""},{"dropping-particle":"","family":"Hueston","given":"C","non-dropping-particle":"","parse-names":false,"suffix":""},{"dropping-particle":"","family":"Govi","given":"B","non-dropping-particle":"","parse-names":false,"suffix":""},{"dropping-particle":"","family":"Draper","given":"LA","non-dropping-particle":"","parse-names":false,"suffix":""},{"dropping-particle":"","family":"Ross","given":"RP","non-dropping-particle":"","parse-names":false,"suffix":""},{"dropping-particle":"","family":"Shkoporov","given":"AN","non-dropping-particle":"","parse-names":false,"suffix":""},{"dropping-particle":"","family":"Hill","given":"C","non-dropping-particle":"","parse-names":false,"suffix":""}],"id":"ITEM-1","issued":{"date-parts":[["0"]]},"title":"Temperate bacteriophages infecting the mucin-degrading bacterium Ruminococcus gnavus from the human gut","type":"article-journal"},"uris":["http://www.mendeley.com/documents/?uuid=93244b74-a40f-43ee-b9e7-9125578dc936"]}],"mendeley":{"formattedCitation":"[1]","plainTextFormattedCitation":"[1]"},"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Pr>
          <w:rFonts w:ascii="Arial" w:hAnsi="Arial" w:cs="Arial"/>
          <w:sz w:val="20"/>
          <w:szCs w:val="20"/>
        </w:rPr>
        <w:t>.</w:t>
      </w:r>
    </w:p>
    <w:p w14:paraId="45ED0E69" w14:textId="77777777" w:rsidR="009E5D82" w:rsidRDefault="009E5D82">
      <w:pPr>
        <w:rPr>
          <w:rFonts w:ascii="Arial" w:hAnsi="Arial" w:cs="Arial"/>
          <w:b/>
          <w:sz w:val="20"/>
          <w:szCs w:val="20"/>
        </w:rPr>
      </w:pPr>
    </w:p>
    <w:p w14:paraId="4A2C41D7" w14:textId="77777777" w:rsidR="00AD76AD" w:rsidRDefault="00AD76AD">
      <w:pPr>
        <w:rPr>
          <w:rFonts w:ascii="Arial" w:hAnsi="Arial" w:cs="Arial"/>
          <w:b/>
          <w:color w:val="000000" w:themeColor="text1"/>
          <w:sz w:val="20"/>
          <w:szCs w:val="20"/>
        </w:rPr>
      </w:pPr>
    </w:p>
    <w:p w14:paraId="1544EF65" w14:textId="77777777" w:rsidR="00AD76AD" w:rsidRDefault="00AD76AD">
      <w:pPr>
        <w:rPr>
          <w:rFonts w:ascii="Arial" w:hAnsi="Arial" w:cs="Arial"/>
          <w:b/>
          <w:color w:val="000000" w:themeColor="text1"/>
          <w:sz w:val="20"/>
          <w:szCs w:val="20"/>
        </w:rPr>
      </w:pPr>
    </w:p>
    <w:p w14:paraId="324EB401" w14:textId="1EE6BF48" w:rsidR="009E5D82" w:rsidRDefault="007B5EE9">
      <w:pPr>
        <w:rPr>
          <w:rFonts w:ascii="Arial" w:hAnsi="Arial" w:cs="Arial"/>
          <w:b/>
          <w:color w:val="000000" w:themeColor="text1"/>
          <w:sz w:val="20"/>
          <w:szCs w:val="20"/>
        </w:rPr>
      </w:pPr>
      <w:r w:rsidRPr="00D3281C">
        <w:rPr>
          <w:rFonts w:ascii="Arial" w:hAnsi="Arial" w:cs="Arial"/>
          <w:b/>
          <w:color w:val="000000" w:themeColor="text1"/>
          <w:sz w:val="20"/>
          <w:szCs w:val="20"/>
        </w:rPr>
        <w:t>GenBank Summary:</w:t>
      </w:r>
    </w:p>
    <w:p w14:paraId="01CE0289" w14:textId="77777777" w:rsidR="00AD76AD" w:rsidRPr="00D3281C" w:rsidRDefault="00AD76AD">
      <w:pPr>
        <w:rPr>
          <w:rFonts w:ascii="Arial" w:hAnsi="Arial" w:cs="Arial"/>
          <w:b/>
          <w:color w:val="000000" w:themeColor="text1"/>
          <w:sz w:val="20"/>
          <w:szCs w:val="20"/>
        </w:rPr>
      </w:pPr>
    </w:p>
    <w:p w14:paraId="105C4662" w14:textId="77777777" w:rsidR="009E5D82" w:rsidRDefault="009E5D82">
      <w:pPr>
        <w:rPr>
          <w:rFonts w:ascii="Arial" w:hAnsi="Arial" w:cs="Arial"/>
          <w:b/>
          <w:color w:val="0000FF"/>
          <w:sz w:val="20"/>
          <w:szCs w:val="20"/>
        </w:rPr>
      </w:pPr>
    </w:p>
    <w:p w14:paraId="3F04E409" w14:textId="77777777" w:rsidR="009E5D82" w:rsidRDefault="007B5EE9">
      <w:pPr>
        <w:rPr>
          <w:rFonts w:ascii="Arial" w:hAnsi="Arial" w:cs="Arial"/>
          <w:sz w:val="20"/>
          <w:szCs w:val="20"/>
        </w:rPr>
      </w:pPr>
      <w:r>
        <w:rPr>
          <w:rFonts w:ascii="Arial" w:hAnsi="Arial" w:cs="Arial"/>
          <w:b/>
          <w:sz w:val="20"/>
          <w:szCs w:val="20"/>
        </w:rPr>
        <w:t xml:space="preserve">Table 1. </w:t>
      </w:r>
      <w:r>
        <w:rPr>
          <w:rFonts w:ascii="Arial" w:hAnsi="Arial" w:cs="Arial"/>
          <w:sz w:val="20"/>
          <w:szCs w:val="20"/>
        </w:rPr>
        <w:t>Properties of the two phages belon</w:t>
      </w:r>
      <w:r w:rsidR="00B85692">
        <w:rPr>
          <w:rFonts w:ascii="Arial" w:hAnsi="Arial" w:cs="Arial"/>
          <w:sz w:val="20"/>
          <w:szCs w:val="20"/>
        </w:rPr>
        <w:t xml:space="preserve">ging to the genus </w:t>
      </w:r>
      <w:r w:rsidR="00FB0FC4" w:rsidRPr="00680D9C">
        <w:rPr>
          <w:rFonts w:ascii="Arial" w:hAnsi="Arial" w:cs="Arial"/>
          <w:i/>
          <w:sz w:val="20"/>
          <w:szCs w:val="20"/>
        </w:rPr>
        <w:t>Ahaonvirus</w:t>
      </w:r>
    </w:p>
    <w:tbl>
      <w:tblPr>
        <w:tblStyle w:val="TableGrid"/>
        <w:tblW w:w="9493" w:type="dxa"/>
        <w:tblLayout w:type="fixed"/>
        <w:tblLook w:val="04A0" w:firstRow="1" w:lastRow="0" w:firstColumn="1" w:lastColumn="0" w:noHBand="0" w:noVBand="1"/>
      </w:tblPr>
      <w:tblGrid>
        <w:gridCol w:w="1555"/>
        <w:gridCol w:w="1136"/>
        <w:gridCol w:w="985"/>
        <w:gridCol w:w="939"/>
        <w:gridCol w:w="972"/>
        <w:gridCol w:w="975"/>
        <w:gridCol w:w="1240"/>
        <w:gridCol w:w="1691"/>
      </w:tblGrid>
      <w:tr w:rsidR="009E5D82" w14:paraId="5B411372" w14:textId="77777777">
        <w:trPr>
          <w:trHeight w:val="900"/>
        </w:trPr>
        <w:tc>
          <w:tcPr>
            <w:tcW w:w="1554" w:type="dxa"/>
          </w:tcPr>
          <w:p w14:paraId="39ACFD38" w14:textId="77777777" w:rsidR="009E5D82" w:rsidRDefault="007B5EE9">
            <w:pPr>
              <w:widowControl w:val="0"/>
              <w:rPr>
                <w:rFonts w:ascii="Arial" w:hAnsi="Arial" w:cs="Arial"/>
                <w:sz w:val="20"/>
                <w:szCs w:val="20"/>
              </w:rPr>
            </w:pPr>
            <w:r>
              <w:rPr>
                <w:rFonts w:ascii="Arial" w:hAnsi="Arial" w:cs="Arial"/>
                <w:b/>
                <w:bCs/>
                <w:sz w:val="20"/>
                <w:szCs w:val="20"/>
              </w:rPr>
              <w:t>Phage</w:t>
            </w:r>
          </w:p>
        </w:tc>
        <w:tc>
          <w:tcPr>
            <w:tcW w:w="1135" w:type="dxa"/>
          </w:tcPr>
          <w:p w14:paraId="3C7B1FEA" w14:textId="77777777" w:rsidR="009E5D82" w:rsidRDefault="007B5EE9">
            <w:pPr>
              <w:widowControl w:val="0"/>
              <w:rPr>
                <w:rFonts w:ascii="Arial" w:hAnsi="Arial" w:cs="Arial"/>
                <w:sz w:val="20"/>
                <w:szCs w:val="20"/>
              </w:rPr>
            </w:pPr>
            <w:r>
              <w:rPr>
                <w:rFonts w:ascii="Arial" w:hAnsi="Arial" w:cs="Arial"/>
                <w:b/>
                <w:bCs/>
                <w:sz w:val="20"/>
                <w:szCs w:val="20"/>
              </w:rPr>
              <w:t>INSDC accession number</w:t>
            </w:r>
          </w:p>
        </w:tc>
        <w:tc>
          <w:tcPr>
            <w:tcW w:w="985" w:type="dxa"/>
          </w:tcPr>
          <w:p w14:paraId="5A84344A" w14:textId="77777777" w:rsidR="009E5D82" w:rsidRDefault="007B5EE9">
            <w:pPr>
              <w:widowControl w:val="0"/>
              <w:rPr>
                <w:rFonts w:ascii="Arial" w:hAnsi="Arial" w:cs="Arial"/>
                <w:sz w:val="20"/>
                <w:szCs w:val="20"/>
              </w:rPr>
            </w:pPr>
            <w:r>
              <w:rPr>
                <w:rFonts w:ascii="Arial" w:hAnsi="Arial" w:cs="Arial"/>
                <w:b/>
                <w:bCs/>
                <w:sz w:val="20"/>
                <w:szCs w:val="20"/>
              </w:rPr>
              <w:t>Genome size (bp)</w:t>
            </w:r>
          </w:p>
        </w:tc>
        <w:tc>
          <w:tcPr>
            <w:tcW w:w="939" w:type="dxa"/>
          </w:tcPr>
          <w:p w14:paraId="1CD6E462" w14:textId="77777777" w:rsidR="009E5D82" w:rsidRDefault="007B5EE9">
            <w:pPr>
              <w:widowControl w:val="0"/>
              <w:rPr>
                <w:rFonts w:ascii="Arial" w:hAnsi="Arial" w:cs="Arial"/>
                <w:sz w:val="20"/>
                <w:szCs w:val="20"/>
              </w:rPr>
            </w:pPr>
            <w:r>
              <w:rPr>
                <w:rFonts w:ascii="Arial" w:hAnsi="Arial" w:cs="Arial"/>
                <w:b/>
                <w:bCs/>
                <w:sz w:val="20"/>
                <w:szCs w:val="20"/>
              </w:rPr>
              <w:t>GC content (%)</w:t>
            </w:r>
          </w:p>
        </w:tc>
        <w:tc>
          <w:tcPr>
            <w:tcW w:w="972" w:type="dxa"/>
          </w:tcPr>
          <w:p w14:paraId="7B0453D9" w14:textId="77777777" w:rsidR="009E5D82" w:rsidRDefault="007B5EE9">
            <w:pPr>
              <w:widowControl w:val="0"/>
              <w:rPr>
                <w:rFonts w:ascii="Arial" w:hAnsi="Arial" w:cs="Arial"/>
                <w:sz w:val="20"/>
                <w:szCs w:val="20"/>
              </w:rPr>
            </w:pPr>
            <w:r>
              <w:rPr>
                <w:rFonts w:ascii="Arial" w:hAnsi="Arial" w:cs="Arial"/>
                <w:b/>
                <w:bCs/>
                <w:sz w:val="20"/>
                <w:szCs w:val="20"/>
              </w:rPr>
              <w:t>Number of ORFs</w:t>
            </w:r>
          </w:p>
        </w:tc>
        <w:tc>
          <w:tcPr>
            <w:tcW w:w="975" w:type="dxa"/>
          </w:tcPr>
          <w:p w14:paraId="70119A46" w14:textId="77777777" w:rsidR="009E5D82" w:rsidRDefault="007B5EE9">
            <w:pPr>
              <w:widowControl w:val="0"/>
              <w:rPr>
                <w:rFonts w:ascii="Arial" w:hAnsi="Arial" w:cs="Arial"/>
                <w:sz w:val="20"/>
                <w:szCs w:val="20"/>
              </w:rPr>
            </w:pPr>
            <w:r>
              <w:rPr>
                <w:rFonts w:ascii="Arial" w:hAnsi="Arial" w:cs="Arial"/>
                <w:b/>
                <w:bCs/>
                <w:sz w:val="20"/>
                <w:szCs w:val="20"/>
              </w:rPr>
              <w:t>Number of tRNA genes</w:t>
            </w:r>
          </w:p>
        </w:tc>
        <w:tc>
          <w:tcPr>
            <w:tcW w:w="1240" w:type="dxa"/>
          </w:tcPr>
          <w:p w14:paraId="6E5865BD" w14:textId="77777777" w:rsidR="009E5D82" w:rsidRDefault="007B5EE9">
            <w:pPr>
              <w:widowControl w:val="0"/>
              <w:rPr>
                <w:rFonts w:ascii="Arial" w:hAnsi="Arial" w:cs="Arial"/>
                <w:sz w:val="20"/>
                <w:szCs w:val="20"/>
              </w:rPr>
            </w:pPr>
            <w:r>
              <w:rPr>
                <w:rFonts w:ascii="Arial" w:hAnsi="Arial" w:cs="Arial"/>
                <w:b/>
                <w:bCs/>
                <w:sz w:val="20"/>
                <w:szCs w:val="20"/>
              </w:rPr>
              <w:t>Nucleotide homology (%)*</w:t>
            </w:r>
          </w:p>
        </w:tc>
        <w:tc>
          <w:tcPr>
            <w:tcW w:w="1691" w:type="dxa"/>
          </w:tcPr>
          <w:p w14:paraId="5043FCAB" w14:textId="77777777" w:rsidR="009E5D82" w:rsidRDefault="007B5EE9">
            <w:pPr>
              <w:widowControl w:val="0"/>
              <w:rPr>
                <w:rFonts w:ascii="Arial" w:hAnsi="Arial" w:cs="Arial"/>
                <w:sz w:val="20"/>
                <w:szCs w:val="20"/>
              </w:rPr>
            </w:pPr>
            <w:r>
              <w:rPr>
                <w:rFonts w:ascii="Arial" w:hAnsi="Arial" w:cs="Arial"/>
                <w:b/>
                <w:bCs/>
                <w:sz w:val="20"/>
                <w:szCs w:val="20"/>
              </w:rPr>
              <w:t>Homologous Proteins (%)**</w:t>
            </w:r>
          </w:p>
        </w:tc>
      </w:tr>
      <w:tr w:rsidR="009E5D82" w14:paraId="0F06135F" w14:textId="77777777">
        <w:trPr>
          <w:trHeight w:val="315"/>
        </w:trPr>
        <w:tc>
          <w:tcPr>
            <w:tcW w:w="1554" w:type="dxa"/>
            <w:vAlign w:val="center"/>
          </w:tcPr>
          <w:p w14:paraId="6A93E8C2" w14:textId="77777777" w:rsidR="009E5D82" w:rsidRDefault="007B5EE9">
            <w:pPr>
              <w:widowControl w:val="0"/>
              <w:jc w:val="center"/>
              <w:rPr>
                <w:rFonts w:ascii="Arial" w:hAnsi="Arial" w:cs="Arial"/>
                <w:sz w:val="20"/>
                <w:szCs w:val="20"/>
              </w:rPr>
            </w:pPr>
            <w:r>
              <w:rPr>
                <w:rFonts w:ascii="Arial" w:hAnsi="Arial" w:cs="Arial"/>
                <w:sz w:val="20"/>
                <w:szCs w:val="20"/>
              </w:rPr>
              <w:t>phiRg507T2_2</w:t>
            </w:r>
          </w:p>
        </w:tc>
        <w:tc>
          <w:tcPr>
            <w:tcW w:w="1135" w:type="dxa"/>
            <w:vAlign w:val="center"/>
          </w:tcPr>
          <w:p w14:paraId="47554D57" w14:textId="77777777" w:rsidR="009E5D82" w:rsidRDefault="007B5EE9">
            <w:pPr>
              <w:widowControl w:val="0"/>
              <w:jc w:val="center"/>
              <w:rPr>
                <w:rFonts w:ascii="Arial" w:hAnsi="Arial" w:cs="Arial"/>
                <w:sz w:val="20"/>
                <w:szCs w:val="20"/>
              </w:rPr>
            </w:pPr>
            <w:r>
              <w:rPr>
                <w:rFonts w:ascii="Arial" w:hAnsi="Arial" w:cs="Arial"/>
                <w:sz w:val="20"/>
                <w:szCs w:val="20"/>
              </w:rPr>
              <w:t>MT980836</w:t>
            </w:r>
          </w:p>
        </w:tc>
        <w:tc>
          <w:tcPr>
            <w:tcW w:w="985" w:type="dxa"/>
            <w:vAlign w:val="center"/>
          </w:tcPr>
          <w:p w14:paraId="2E84EDE7" w14:textId="77777777" w:rsidR="009E5D82" w:rsidRDefault="007B5EE9">
            <w:pPr>
              <w:widowControl w:val="0"/>
              <w:jc w:val="center"/>
              <w:rPr>
                <w:rFonts w:ascii="Arial" w:hAnsi="Arial" w:cs="Arial"/>
                <w:sz w:val="20"/>
                <w:szCs w:val="20"/>
              </w:rPr>
            </w:pPr>
            <w:r>
              <w:rPr>
                <w:rFonts w:ascii="Arial" w:hAnsi="Arial" w:cs="Arial"/>
                <w:sz w:val="20"/>
                <w:szCs w:val="20"/>
              </w:rPr>
              <w:t>37,304</w:t>
            </w:r>
          </w:p>
        </w:tc>
        <w:tc>
          <w:tcPr>
            <w:tcW w:w="939" w:type="dxa"/>
            <w:vAlign w:val="center"/>
          </w:tcPr>
          <w:p w14:paraId="3CA794F4" w14:textId="77777777" w:rsidR="009E5D82" w:rsidRDefault="007B5EE9">
            <w:pPr>
              <w:widowControl w:val="0"/>
              <w:jc w:val="center"/>
              <w:rPr>
                <w:rFonts w:ascii="Arial" w:hAnsi="Arial" w:cs="Arial"/>
                <w:sz w:val="20"/>
                <w:szCs w:val="20"/>
              </w:rPr>
            </w:pPr>
            <w:r>
              <w:rPr>
                <w:rFonts w:ascii="Arial" w:hAnsi="Arial" w:cs="Arial"/>
                <w:sz w:val="20"/>
                <w:szCs w:val="20"/>
              </w:rPr>
              <w:t>42</w:t>
            </w:r>
          </w:p>
        </w:tc>
        <w:tc>
          <w:tcPr>
            <w:tcW w:w="972" w:type="dxa"/>
            <w:vAlign w:val="center"/>
          </w:tcPr>
          <w:p w14:paraId="040A2CE9" w14:textId="77777777" w:rsidR="009E5D82" w:rsidRDefault="007B5EE9">
            <w:pPr>
              <w:widowControl w:val="0"/>
              <w:jc w:val="center"/>
              <w:rPr>
                <w:rFonts w:ascii="Arial" w:hAnsi="Arial" w:cs="Arial"/>
                <w:sz w:val="20"/>
                <w:szCs w:val="20"/>
              </w:rPr>
            </w:pPr>
            <w:r>
              <w:rPr>
                <w:rFonts w:ascii="Arial" w:hAnsi="Arial" w:cs="Arial"/>
                <w:sz w:val="20"/>
                <w:szCs w:val="20"/>
              </w:rPr>
              <w:t>54</w:t>
            </w:r>
          </w:p>
        </w:tc>
        <w:tc>
          <w:tcPr>
            <w:tcW w:w="975" w:type="dxa"/>
            <w:vAlign w:val="center"/>
          </w:tcPr>
          <w:p w14:paraId="15699913" w14:textId="77777777" w:rsidR="009E5D82" w:rsidRDefault="007B5EE9">
            <w:pPr>
              <w:widowControl w:val="0"/>
              <w:jc w:val="center"/>
              <w:rPr>
                <w:rFonts w:ascii="Arial" w:hAnsi="Arial" w:cs="Arial"/>
                <w:sz w:val="20"/>
                <w:szCs w:val="20"/>
              </w:rPr>
            </w:pPr>
            <w:r>
              <w:rPr>
                <w:rFonts w:ascii="Arial" w:hAnsi="Arial" w:cs="Arial"/>
                <w:sz w:val="20"/>
                <w:szCs w:val="20"/>
              </w:rPr>
              <w:t>2</w:t>
            </w:r>
          </w:p>
        </w:tc>
        <w:tc>
          <w:tcPr>
            <w:tcW w:w="1240" w:type="dxa"/>
            <w:vAlign w:val="center"/>
          </w:tcPr>
          <w:p w14:paraId="0F222ABF" w14:textId="77777777" w:rsidR="009E5D82" w:rsidRDefault="007B5EE9">
            <w:pPr>
              <w:widowControl w:val="0"/>
              <w:jc w:val="center"/>
              <w:rPr>
                <w:rFonts w:ascii="Arial" w:hAnsi="Arial" w:cs="Arial"/>
                <w:sz w:val="20"/>
                <w:szCs w:val="20"/>
              </w:rPr>
            </w:pPr>
            <w:r>
              <w:rPr>
                <w:rFonts w:ascii="Arial" w:hAnsi="Arial" w:cs="Arial"/>
                <w:sz w:val="20"/>
                <w:szCs w:val="20"/>
              </w:rPr>
              <w:t>100</w:t>
            </w:r>
          </w:p>
        </w:tc>
        <w:tc>
          <w:tcPr>
            <w:tcW w:w="1691" w:type="dxa"/>
            <w:vAlign w:val="center"/>
          </w:tcPr>
          <w:p w14:paraId="2CCEA7BF" w14:textId="77777777" w:rsidR="009E5D82" w:rsidRDefault="007B5EE9">
            <w:pPr>
              <w:widowControl w:val="0"/>
              <w:jc w:val="center"/>
              <w:rPr>
                <w:rFonts w:ascii="Arial" w:hAnsi="Arial" w:cs="Arial"/>
                <w:sz w:val="20"/>
                <w:szCs w:val="20"/>
              </w:rPr>
            </w:pPr>
            <w:r>
              <w:rPr>
                <w:rFonts w:ascii="Arial" w:hAnsi="Arial" w:cs="Arial"/>
                <w:sz w:val="20"/>
                <w:szCs w:val="20"/>
              </w:rPr>
              <w:t>100</w:t>
            </w:r>
          </w:p>
        </w:tc>
      </w:tr>
      <w:tr w:rsidR="009E5D82" w14:paraId="4B9A8512" w14:textId="77777777">
        <w:trPr>
          <w:trHeight w:val="315"/>
        </w:trPr>
        <w:tc>
          <w:tcPr>
            <w:tcW w:w="1554" w:type="dxa"/>
            <w:vAlign w:val="center"/>
          </w:tcPr>
          <w:p w14:paraId="7721D3D6" w14:textId="77777777" w:rsidR="009E5D82" w:rsidRDefault="007B5EE9">
            <w:pPr>
              <w:widowControl w:val="0"/>
              <w:jc w:val="center"/>
              <w:rPr>
                <w:rFonts w:ascii="Arial" w:hAnsi="Arial" w:cs="Arial"/>
                <w:sz w:val="20"/>
                <w:szCs w:val="20"/>
              </w:rPr>
            </w:pPr>
            <w:r>
              <w:rPr>
                <w:rFonts w:ascii="Arial" w:hAnsi="Arial" w:cs="Arial"/>
                <w:sz w:val="20"/>
                <w:szCs w:val="20"/>
              </w:rPr>
              <w:t>phiRg507T2_3</w:t>
            </w:r>
          </w:p>
        </w:tc>
        <w:tc>
          <w:tcPr>
            <w:tcW w:w="1135" w:type="dxa"/>
            <w:vAlign w:val="center"/>
          </w:tcPr>
          <w:p w14:paraId="67C8BF03" w14:textId="77777777" w:rsidR="009E5D82" w:rsidRDefault="007B5EE9">
            <w:pPr>
              <w:widowControl w:val="0"/>
              <w:jc w:val="center"/>
              <w:rPr>
                <w:rFonts w:ascii="Arial" w:hAnsi="Arial" w:cs="Arial"/>
                <w:sz w:val="20"/>
                <w:szCs w:val="20"/>
              </w:rPr>
            </w:pPr>
            <w:r>
              <w:rPr>
                <w:rFonts w:ascii="Arial" w:hAnsi="Arial" w:cs="Arial"/>
                <w:sz w:val="20"/>
                <w:szCs w:val="20"/>
              </w:rPr>
              <w:t>MT980837</w:t>
            </w:r>
          </w:p>
        </w:tc>
        <w:tc>
          <w:tcPr>
            <w:tcW w:w="985" w:type="dxa"/>
            <w:vAlign w:val="center"/>
          </w:tcPr>
          <w:p w14:paraId="1B54C31D" w14:textId="77777777" w:rsidR="009E5D82" w:rsidRDefault="007B5EE9">
            <w:pPr>
              <w:widowControl w:val="0"/>
              <w:jc w:val="center"/>
              <w:rPr>
                <w:rFonts w:ascii="Arial" w:hAnsi="Arial" w:cs="Arial"/>
                <w:sz w:val="20"/>
                <w:szCs w:val="20"/>
              </w:rPr>
            </w:pPr>
            <w:r>
              <w:rPr>
                <w:rFonts w:ascii="Arial" w:hAnsi="Arial" w:cs="Arial"/>
                <w:sz w:val="20"/>
                <w:szCs w:val="20"/>
              </w:rPr>
              <w:t>36,510</w:t>
            </w:r>
          </w:p>
        </w:tc>
        <w:tc>
          <w:tcPr>
            <w:tcW w:w="939" w:type="dxa"/>
            <w:vAlign w:val="center"/>
          </w:tcPr>
          <w:p w14:paraId="1DCDEE07" w14:textId="77777777" w:rsidR="009E5D82" w:rsidRDefault="007B5EE9">
            <w:pPr>
              <w:widowControl w:val="0"/>
              <w:jc w:val="center"/>
              <w:rPr>
                <w:rFonts w:ascii="Arial" w:hAnsi="Arial" w:cs="Arial"/>
                <w:sz w:val="20"/>
                <w:szCs w:val="20"/>
              </w:rPr>
            </w:pPr>
            <w:r>
              <w:rPr>
                <w:rFonts w:ascii="Arial" w:hAnsi="Arial" w:cs="Arial"/>
                <w:sz w:val="20"/>
                <w:szCs w:val="20"/>
              </w:rPr>
              <w:t>42</w:t>
            </w:r>
          </w:p>
        </w:tc>
        <w:tc>
          <w:tcPr>
            <w:tcW w:w="972" w:type="dxa"/>
            <w:vAlign w:val="center"/>
          </w:tcPr>
          <w:p w14:paraId="003148C1" w14:textId="77777777" w:rsidR="009E5D82" w:rsidRDefault="007B5EE9">
            <w:pPr>
              <w:widowControl w:val="0"/>
              <w:jc w:val="center"/>
              <w:rPr>
                <w:rFonts w:ascii="Arial" w:hAnsi="Arial" w:cs="Arial"/>
                <w:sz w:val="20"/>
                <w:szCs w:val="20"/>
              </w:rPr>
            </w:pPr>
            <w:r>
              <w:rPr>
                <w:rFonts w:ascii="Arial" w:hAnsi="Arial" w:cs="Arial"/>
                <w:sz w:val="20"/>
                <w:szCs w:val="20"/>
              </w:rPr>
              <w:t>54</w:t>
            </w:r>
          </w:p>
        </w:tc>
        <w:tc>
          <w:tcPr>
            <w:tcW w:w="975" w:type="dxa"/>
            <w:vAlign w:val="center"/>
          </w:tcPr>
          <w:p w14:paraId="7DC0CF27" w14:textId="77777777" w:rsidR="009E5D82" w:rsidRDefault="007B5EE9">
            <w:pPr>
              <w:widowControl w:val="0"/>
              <w:jc w:val="center"/>
              <w:rPr>
                <w:rFonts w:ascii="Arial" w:hAnsi="Arial" w:cs="Arial"/>
                <w:sz w:val="20"/>
                <w:szCs w:val="20"/>
              </w:rPr>
            </w:pPr>
            <w:r>
              <w:rPr>
                <w:rFonts w:ascii="Arial" w:hAnsi="Arial" w:cs="Arial"/>
                <w:sz w:val="20"/>
                <w:szCs w:val="20"/>
              </w:rPr>
              <w:t>2</w:t>
            </w:r>
          </w:p>
        </w:tc>
        <w:tc>
          <w:tcPr>
            <w:tcW w:w="1240" w:type="dxa"/>
            <w:vAlign w:val="center"/>
          </w:tcPr>
          <w:p w14:paraId="68D81077" w14:textId="77777777" w:rsidR="009E5D82" w:rsidRDefault="007B5EE9">
            <w:pPr>
              <w:widowControl w:val="0"/>
              <w:jc w:val="center"/>
              <w:rPr>
                <w:rFonts w:ascii="Arial" w:hAnsi="Arial" w:cs="Arial"/>
                <w:sz w:val="20"/>
                <w:szCs w:val="20"/>
              </w:rPr>
            </w:pPr>
            <w:r>
              <w:rPr>
                <w:rFonts w:ascii="Arial" w:hAnsi="Arial" w:cs="Arial"/>
                <w:sz w:val="20"/>
                <w:szCs w:val="20"/>
              </w:rPr>
              <w:t>86</w:t>
            </w:r>
          </w:p>
        </w:tc>
        <w:tc>
          <w:tcPr>
            <w:tcW w:w="1691" w:type="dxa"/>
            <w:vAlign w:val="center"/>
          </w:tcPr>
          <w:p w14:paraId="43FC92DA" w14:textId="77777777" w:rsidR="009E5D82" w:rsidRDefault="007B5EE9">
            <w:pPr>
              <w:widowControl w:val="0"/>
              <w:jc w:val="center"/>
              <w:rPr>
                <w:rFonts w:ascii="Arial" w:hAnsi="Arial" w:cs="Arial"/>
                <w:sz w:val="20"/>
                <w:szCs w:val="20"/>
              </w:rPr>
            </w:pPr>
            <w:r>
              <w:rPr>
                <w:rFonts w:ascii="Arial" w:hAnsi="Arial" w:cs="Arial"/>
                <w:sz w:val="20"/>
                <w:szCs w:val="20"/>
              </w:rPr>
              <w:t>89</w:t>
            </w:r>
          </w:p>
        </w:tc>
      </w:tr>
    </w:tbl>
    <w:p w14:paraId="01EFCF25" w14:textId="77777777" w:rsidR="009E5D82" w:rsidRDefault="009E5D82">
      <w:pPr>
        <w:rPr>
          <w:rFonts w:ascii="Arial" w:hAnsi="Arial" w:cs="Arial"/>
          <w:b/>
          <w:sz w:val="20"/>
          <w:szCs w:val="20"/>
        </w:rPr>
      </w:pPr>
    </w:p>
    <w:p w14:paraId="67EA7C7B" w14:textId="77777777" w:rsidR="005B219F" w:rsidRDefault="005B219F">
      <w:pPr>
        <w:rPr>
          <w:rFonts w:ascii="Arial" w:hAnsi="Arial" w:cs="Arial"/>
          <w:b/>
          <w:sz w:val="20"/>
          <w:szCs w:val="20"/>
        </w:rPr>
      </w:pPr>
    </w:p>
    <w:p w14:paraId="62F69CA6" w14:textId="77777777" w:rsidR="00AD76AD" w:rsidRDefault="00AD76AD">
      <w:pPr>
        <w:rPr>
          <w:rFonts w:ascii="Arial" w:hAnsi="Arial" w:cs="Arial"/>
          <w:b/>
          <w:sz w:val="20"/>
          <w:szCs w:val="20"/>
        </w:rPr>
      </w:pPr>
    </w:p>
    <w:p w14:paraId="3CA4EECB" w14:textId="77777777" w:rsidR="00AD76AD" w:rsidRDefault="00AD76AD">
      <w:pPr>
        <w:rPr>
          <w:rFonts w:ascii="Arial" w:hAnsi="Arial" w:cs="Arial"/>
          <w:b/>
          <w:sz w:val="20"/>
          <w:szCs w:val="20"/>
        </w:rPr>
      </w:pPr>
    </w:p>
    <w:p w14:paraId="5637BEBA" w14:textId="77777777" w:rsidR="00AD76AD" w:rsidRDefault="00AD76AD">
      <w:pPr>
        <w:rPr>
          <w:rFonts w:ascii="Arial" w:hAnsi="Arial" w:cs="Arial"/>
          <w:b/>
          <w:sz w:val="20"/>
          <w:szCs w:val="20"/>
        </w:rPr>
      </w:pPr>
    </w:p>
    <w:p w14:paraId="2272EDC5" w14:textId="77777777" w:rsidR="00AD76AD" w:rsidRDefault="00AD76AD">
      <w:pPr>
        <w:rPr>
          <w:rFonts w:ascii="Arial" w:hAnsi="Arial" w:cs="Arial"/>
          <w:b/>
          <w:sz w:val="20"/>
          <w:szCs w:val="20"/>
        </w:rPr>
      </w:pPr>
    </w:p>
    <w:p w14:paraId="29B663D0" w14:textId="77777777" w:rsidR="005B219F" w:rsidRDefault="005B219F">
      <w:pPr>
        <w:rPr>
          <w:rFonts w:ascii="Arial" w:hAnsi="Arial" w:cs="Arial"/>
          <w:b/>
          <w:sz w:val="20"/>
          <w:szCs w:val="20"/>
        </w:rPr>
      </w:pPr>
    </w:p>
    <w:p w14:paraId="551FE6F9" w14:textId="77777777" w:rsidR="009E5D82" w:rsidRDefault="007B5EE9">
      <w:pPr>
        <w:rPr>
          <w:rFonts w:ascii="Arial" w:hAnsi="Arial" w:cs="Arial"/>
          <w:sz w:val="20"/>
          <w:szCs w:val="20"/>
        </w:rPr>
      </w:pPr>
      <w:r>
        <w:rPr>
          <w:rFonts w:ascii="Arial" w:hAnsi="Arial" w:cs="Arial"/>
          <w:b/>
          <w:sz w:val="20"/>
          <w:szCs w:val="20"/>
        </w:rPr>
        <w:lastRenderedPageBreak/>
        <w:t xml:space="preserve">Table 2. </w:t>
      </w:r>
      <w:r>
        <w:rPr>
          <w:rFonts w:ascii="Arial" w:hAnsi="Arial" w:cs="Arial"/>
          <w:sz w:val="20"/>
          <w:szCs w:val="20"/>
        </w:rPr>
        <w:t xml:space="preserve">Properties of the two phages belonging to the genus </w:t>
      </w:r>
      <w:r w:rsidR="00FB0FC4" w:rsidRPr="00680D9C">
        <w:rPr>
          <w:rFonts w:ascii="Calibri" w:hAnsi="Calibri" w:cs="Calibri"/>
          <w:i/>
          <w:color w:val="000000"/>
          <w:shd w:val="clear" w:color="auto" w:fill="FFFFFF"/>
        </w:rPr>
        <w:t>Adovirus</w:t>
      </w:r>
    </w:p>
    <w:tbl>
      <w:tblPr>
        <w:tblStyle w:val="TableGrid"/>
        <w:tblW w:w="9493" w:type="dxa"/>
        <w:tblLayout w:type="fixed"/>
        <w:tblLook w:val="04A0" w:firstRow="1" w:lastRow="0" w:firstColumn="1" w:lastColumn="0" w:noHBand="0" w:noVBand="1"/>
      </w:tblPr>
      <w:tblGrid>
        <w:gridCol w:w="1522"/>
        <w:gridCol w:w="1229"/>
        <w:gridCol w:w="1015"/>
        <w:gridCol w:w="939"/>
        <w:gridCol w:w="972"/>
        <w:gridCol w:w="972"/>
        <w:gridCol w:w="1242"/>
        <w:gridCol w:w="1602"/>
      </w:tblGrid>
      <w:tr w:rsidR="009E5D82" w14:paraId="2FFEB4E5" w14:textId="77777777">
        <w:trPr>
          <w:trHeight w:val="900"/>
        </w:trPr>
        <w:tc>
          <w:tcPr>
            <w:tcW w:w="1521" w:type="dxa"/>
          </w:tcPr>
          <w:p w14:paraId="43ECB214" w14:textId="77777777" w:rsidR="009E5D82" w:rsidRDefault="007B5EE9">
            <w:pPr>
              <w:widowControl w:val="0"/>
              <w:rPr>
                <w:rFonts w:ascii="Arial" w:hAnsi="Arial" w:cs="Arial"/>
                <w:sz w:val="20"/>
                <w:szCs w:val="20"/>
              </w:rPr>
            </w:pPr>
            <w:r>
              <w:rPr>
                <w:rFonts w:ascii="Arial" w:hAnsi="Arial" w:cs="Arial"/>
                <w:b/>
                <w:bCs/>
                <w:sz w:val="20"/>
                <w:szCs w:val="20"/>
              </w:rPr>
              <w:t>Phage</w:t>
            </w:r>
          </w:p>
        </w:tc>
        <w:tc>
          <w:tcPr>
            <w:tcW w:w="1228" w:type="dxa"/>
          </w:tcPr>
          <w:p w14:paraId="6A787803" w14:textId="77777777" w:rsidR="009E5D82" w:rsidRDefault="007B5EE9">
            <w:pPr>
              <w:widowControl w:val="0"/>
              <w:rPr>
                <w:rFonts w:ascii="Arial" w:hAnsi="Arial" w:cs="Arial"/>
                <w:sz w:val="20"/>
                <w:szCs w:val="20"/>
              </w:rPr>
            </w:pPr>
            <w:r>
              <w:rPr>
                <w:rFonts w:ascii="Arial" w:hAnsi="Arial" w:cs="Arial"/>
                <w:b/>
                <w:bCs/>
                <w:sz w:val="20"/>
                <w:szCs w:val="20"/>
              </w:rPr>
              <w:t>INSDC accession number</w:t>
            </w:r>
          </w:p>
        </w:tc>
        <w:tc>
          <w:tcPr>
            <w:tcW w:w="1015" w:type="dxa"/>
          </w:tcPr>
          <w:p w14:paraId="2AA1079F" w14:textId="77777777" w:rsidR="009E5D82" w:rsidRDefault="007B5EE9">
            <w:pPr>
              <w:widowControl w:val="0"/>
              <w:rPr>
                <w:rFonts w:ascii="Arial" w:hAnsi="Arial" w:cs="Arial"/>
                <w:sz w:val="20"/>
                <w:szCs w:val="20"/>
              </w:rPr>
            </w:pPr>
            <w:r>
              <w:rPr>
                <w:rFonts w:ascii="Arial" w:hAnsi="Arial" w:cs="Arial"/>
                <w:b/>
                <w:bCs/>
                <w:sz w:val="20"/>
                <w:szCs w:val="20"/>
              </w:rPr>
              <w:t>Genome size (bp)</w:t>
            </w:r>
          </w:p>
        </w:tc>
        <w:tc>
          <w:tcPr>
            <w:tcW w:w="939" w:type="dxa"/>
          </w:tcPr>
          <w:p w14:paraId="7EAE3440" w14:textId="77777777" w:rsidR="009E5D82" w:rsidRDefault="007B5EE9">
            <w:pPr>
              <w:widowControl w:val="0"/>
              <w:rPr>
                <w:rFonts w:ascii="Arial" w:hAnsi="Arial" w:cs="Arial"/>
                <w:sz w:val="20"/>
                <w:szCs w:val="20"/>
              </w:rPr>
            </w:pPr>
            <w:r>
              <w:rPr>
                <w:rFonts w:ascii="Arial" w:hAnsi="Arial" w:cs="Arial"/>
                <w:b/>
                <w:bCs/>
                <w:sz w:val="20"/>
                <w:szCs w:val="20"/>
              </w:rPr>
              <w:t>GC content (%)</w:t>
            </w:r>
          </w:p>
        </w:tc>
        <w:tc>
          <w:tcPr>
            <w:tcW w:w="972" w:type="dxa"/>
          </w:tcPr>
          <w:p w14:paraId="7C17851D" w14:textId="77777777" w:rsidR="009E5D82" w:rsidRDefault="007B5EE9">
            <w:pPr>
              <w:widowControl w:val="0"/>
              <w:rPr>
                <w:rFonts w:ascii="Arial" w:hAnsi="Arial" w:cs="Arial"/>
                <w:sz w:val="20"/>
                <w:szCs w:val="20"/>
              </w:rPr>
            </w:pPr>
            <w:r>
              <w:rPr>
                <w:rFonts w:ascii="Arial" w:hAnsi="Arial" w:cs="Arial"/>
                <w:b/>
                <w:bCs/>
                <w:sz w:val="20"/>
                <w:szCs w:val="20"/>
              </w:rPr>
              <w:t>Number of ORFs</w:t>
            </w:r>
          </w:p>
        </w:tc>
        <w:tc>
          <w:tcPr>
            <w:tcW w:w="972" w:type="dxa"/>
          </w:tcPr>
          <w:p w14:paraId="2D5AB222" w14:textId="77777777" w:rsidR="009E5D82" w:rsidRDefault="007B5EE9">
            <w:pPr>
              <w:widowControl w:val="0"/>
              <w:rPr>
                <w:rFonts w:ascii="Arial" w:hAnsi="Arial" w:cs="Arial"/>
                <w:sz w:val="20"/>
                <w:szCs w:val="20"/>
              </w:rPr>
            </w:pPr>
            <w:r>
              <w:rPr>
                <w:rFonts w:ascii="Arial" w:hAnsi="Arial" w:cs="Arial"/>
                <w:b/>
                <w:bCs/>
                <w:sz w:val="20"/>
                <w:szCs w:val="20"/>
              </w:rPr>
              <w:t>Number of tRNA genes</w:t>
            </w:r>
          </w:p>
        </w:tc>
        <w:tc>
          <w:tcPr>
            <w:tcW w:w="1242" w:type="dxa"/>
          </w:tcPr>
          <w:p w14:paraId="0B707AED" w14:textId="77777777" w:rsidR="009E5D82" w:rsidRDefault="007B5EE9">
            <w:pPr>
              <w:widowControl w:val="0"/>
              <w:rPr>
                <w:rFonts w:ascii="Arial" w:hAnsi="Arial" w:cs="Arial"/>
                <w:sz w:val="20"/>
                <w:szCs w:val="20"/>
              </w:rPr>
            </w:pPr>
            <w:r>
              <w:rPr>
                <w:rFonts w:ascii="Arial" w:hAnsi="Arial" w:cs="Arial"/>
                <w:b/>
                <w:bCs/>
                <w:sz w:val="20"/>
                <w:szCs w:val="20"/>
              </w:rPr>
              <w:t>Nucleotide homology (%)*</w:t>
            </w:r>
          </w:p>
        </w:tc>
        <w:tc>
          <w:tcPr>
            <w:tcW w:w="1602" w:type="dxa"/>
          </w:tcPr>
          <w:p w14:paraId="75288EE4" w14:textId="77777777" w:rsidR="009E5D82" w:rsidRDefault="007B5EE9">
            <w:pPr>
              <w:widowControl w:val="0"/>
              <w:rPr>
                <w:rFonts w:ascii="Arial" w:hAnsi="Arial" w:cs="Arial"/>
                <w:sz w:val="20"/>
                <w:szCs w:val="20"/>
              </w:rPr>
            </w:pPr>
            <w:r>
              <w:rPr>
                <w:rFonts w:ascii="Arial" w:hAnsi="Arial" w:cs="Arial"/>
                <w:b/>
                <w:bCs/>
                <w:sz w:val="20"/>
                <w:szCs w:val="20"/>
              </w:rPr>
              <w:t>Homologous Proteins (%)**</w:t>
            </w:r>
          </w:p>
        </w:tc>
      </w:tr>
      <w:tr w:rsidR="009E5D82" w14:paraId="69231945" w14:textId="77777777">
        <w:trPr>
          <w:trHeight w:val="315"/>
        </w:trPr>
        <w:tc>
          <w:tcPr>
            <w:tcW w:w="1521" w:type="dxa"/>
            <w:vAlign w:val="center"/>
          </w:tcPr>
          <w:p w14:paraId="596E769A"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phiRgIBDN1</w:t>
            </w:r>
          </w:p>
        </w:tc>
        <w:tc>
          <w:tcPr>
            <w:tcW w:w="1228" w:type="dxa"/>
            <w:vAlign w:val="center"/>
          </w:tcPr>
          <w:p w14:paraId="7DC8E1BC"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MT980840</w:t>
            </w:r>
          </w:p>
        </w:tc>
        <w:tc>
          <w:tcPr>
            <w:tcW w:w="1015" w:type="dxa"/>
            <w:vAlign w:val="center"/>
          </w:tcPr>
          <w:p w14:paraId="1E88E9CD"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37,233</w:t>
            </w:r>
          </w:p>
        </w:tc>
        <w:tc>
          <w:tcPr>
            <w:tcW w:w="939" w:type="dxa"/>
            <w:vAlign w:val="center"/>
          </w:tcPr>
          <w:p w14:paraId="057E24BC"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41</w:t>
            </w:r>
          </w:p>
        </w:tc>
        <w:tc>
          <w:tcPr>
            <w:tcW w:w="972" w:type="dxa"/>
            <w:vAlign w:val="center"/>
          </w:tcPr>
          <w:p w14:paraId="5353E9CE"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58</w:t>
            </w:r>
          </w:p>
        </w:tc>
        <w:tc>
          <w:tcPr>
            <w:tcW w:w="972" w:type="dxa"/>
            <w:vAlign w:val="center"/>
          </w:tcPr>
          <w:p w14:paraId="553D75CD"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2</w:t>
            </w:r>
          </w:p>
        </w:tc>
        <w:tc>
          <w:tcPr>
            <w:tcW w:w="1242" w:type="dxa"/>
            <w:vAlign w:val="center"/>
          </w:tcPr>
          <w:p w14:paraId="31DD1DE1"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100</w:t>
            </w:r>
          </w:p>
        </w:tc>
        <w:tc>
          <w:tcPr>
            <w:tcW w:w="1602" w:type="dxa"/>
            <w:vAlign w:val="center"/>
          </w:tcPr>
          <w:p w14:paraId="0AD00381"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100</w:t>
            </w:r>
          </w:p>
        </w:tc>
      </w:tr>
      <w:tr w:rsidR="009E5D82" w14:paraId="50F1201A" w14:textId="77777777">
        <w:trPr>
          <w:trHeight w:val="315"/>
        </w:trPr>
        <w:tc>
          <w:tcPr>
            <w:tcW w:w="1521" w:type="dxa"/>
            <w:vAlign w:val="center"/>
          </w:tcPr>
          <w:p w14:paraId="028D48C2"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phiRg519T2</w:t>
            </w:r>
          </w:p>
        </w:tc>
        <w:tc>
          <w:tcPr>
            <w:tcW w:w="1228" w:type="dxa"/>
            <w:vAlign w:val="center"/>
          </w:tcPr>
          <w:p w14:paraId="012CE20B"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MT980838</w:t>
            </w:r>
          </w:p>
        </w:tc>
        <w:tc>
          <w:tcPr>
            <w:tcW w:w="1015" w:type="dxa"/>
            <w:vAlign w:val="center"/>
          </w:tcPr>
          <w:p w14:paraId="31E86FE1"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36,865</w:t>
            </w:r>
          </w:p>
        </w:tc>
        <w:tc>
          <w:tcPr>
            <w:tcW w:w="939" w:type="dxa"/>
            <w:vAlign w:val="center"/>
          </w:tcPr>
          <w:p w14:paraId="3D18D7D6"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42</w:t>
            </w:r>
          </w:p>
        </w:tc>
        <w:tc>
          <w:tcPr>
            <w:tcW w:w="972" w:type="dxa"/>
            <w:vAlign w:val="center"/>
          </w:tcPr>
          <w:p w14:paraId="7D1CEFE9"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58</w:t>
            </w:r>
          </w:p>
        </w:tc>
        <w:tc>
          <w:tcPr>
            <w:tcW w:w="972" w:type="dxa"/>
            <w:vAlign w:val="center"/>
          </w:tcPr>
          <w:p w14:paraId="5A2CCAF5"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2</w:t>
            </w:r>
          </w:p>
        </w:tc>
        <w:tc>
          <w:tcPr>
            <w:tcW w:w="1242" w:type="dxa"/>
            <w:vAlign w:val="center"/>
          </w:tcPr>
          <w:p w14:paraId="03730907" w14:textId="77777777" w:rsidR="009E5D82" w:rsidRDefault="007B5EE9">
            <w:pPr>
              <w:widowControl w:val="0"/>
              <w:jc w:val="center"/>
              <w:rPr>
                <w:rFonts w:ascii="Arial" w:hAnsi="Arial" w:cs="Arial"/>
                <w:sz w:val="20"/>
                <w:szCs w:val="20"/>
              </w:rPr>
            </w:pPr>
            <w:r>
              <w:rPr>
                <w:rFonts w:ascii="Arial" w:hAnsi="Arial" w:cs="Arial"/>
                <w:sz w:val="20"/>
                <w:szCs w:val="20"/>
              </w:rPr>
              <w:t>73</w:t>
            </w:r>
          </w:p>
        </w:tc>
        <w:tc>
          <w:tcPr>
            <w:tcW w:w="1602" w:type="dxa"/>
            <w:vAlign w:val="center"/>
          </w:tcPr>
          <w:p w14:paraId="6F2DF3DC" w14:textId="77777777" w:rsidR="009E5D82" w:rsidRDefault="007B5EE9">
            <w:pPr>
              <w:widowControl w:val="0"/>
              <w:jc w:val="center"/>
              <w:rPr>
                <w:rFonts w:ascii="Arial" w:hAnsi="Arial" w:cs="Arial"/>
                <w:sz w:val="20"/>
                <w:szCs w:val="20"/>
              </w:rPr>
            </w:pPr>
            <w:r>
              <w:rPr>
                <w:rFonts w:ascii="Arial" w:hAnsi="Arial" w:cs="Arial"/>
                <w:sz w:val="20"/>
                <w:szCs w:val="20"/>
              </w:rPr>
              <w:t>81</w:t>
            </w:r>
          </w:p>
        </w:tc>
      </w:tr>
    </w:tbl>
    <w:p w14:paraId="4D6975EA" w14:textId="77777777" w:rsidR="009E5D82" w:rsidRDefault="009E5D82">
      <w:pPr>
        <w:rPr>
          <w:rFonts w:ascii="Arial" w:hAnsi="Arial" w:cs="Arial"/>
          <w:b/>
          <w:sz w:val="20"/>
          <w:szCs w:val="20"/>
        </w:rPr>
      </w:pPr>
    </w:p>
    <w:p w14:paraId="61DD5E22" w14:textId="77777777" w:rsidR="009E5D82" w:rsidRDefault="007B5EE9">
      <w:pPr>
        <w:rPr>
          <w:rFonts w:ascii="Arial" w:hAnsi="Arial" w:cs="Arial"/>
          <w:sz w:val="20"/>
          <w:szCs w:val="20"/>
        </w:rPr>
      </w:pPr>
      <w:r>
        <w:rPr>
          <w:rFonts w:ascii="Arial" w:hAnsi="Arial" w:cs="Arial"/>
          <w:b/>
          <w:sz w:val="20"/>
          <w:szCs w:val="20"/>
        </w:rPr>
        <w:t xml:space="preserve">Table 3. </w:t>
      </w:r>
      <w:r>
        <w:rPr>
          <w:rFonts w:ascii="Arial" w:hAnsi="Arial" w:cs="Arial"/>
          <w:sz w:val="20"/>
          <w:szCs w:val="20"/>
        </w:rPr>
        <w:t xml:space="preserve">Properties of the phage forming the genus </w:t>
      </w:r>
      <w:r w:rsidR="00FB0FC4" w:rsidRPr="00680D9C">
        <w:rPr>
          <w:rFonts w:ascii="Calibri" w:hAnsi="Calibri" w:cs="Calibri"/>
          <w:i/>
          <w:color w:val="000000"/>
          <w:shd w:val="clear" w:color="auto" w:fill="FFFFFF"/>
        </w:rPr>
        <w:t>Atrivirus</w:t>
      </w:r>
    </w:p>
    <w:tbl>
      <w:tblPr>
        <w:tblStyle w:val="TableGrid"/>
        <w:tblW w:w="9493" w:type="dxa"/>
        <w:tblLayout w:type="fixed"/>
        <w:tblLook w:val="04A0" w:firstRow="1" w:lastRow="0" w:firstColumn="1" w:lastColumn="0" w:noHBand="0" w:noVBand="1"/>
      </w:tblPr>
      <w:tblGrid>
        <w:gridCol w:w="1522"/>
        <w:gridCol w:w="1229"/>
        <w:gridCol w:w="1015"/>
        <w:gridCol w:w="939"/>
        <w:gridCol w:w="972"/>
        <w:gridCol w:w="972"/>
        <w:gridCol w:w="1242"/>
        <w:gridCol w:w="1602"/>
      </w:tblGrid>
      <w:tr w:rsidR="009E5D82" w14:paraId="2338AAA3" w14:textId="77777777">
        <w:trPr>
          <w:trHeight w:val="900"/>
        </w:trPr>
        <w:tc>
          <w:tcPr>
            <w:tcW w:w="1521" w:type="dxa"/>
          </w:tcPr>
          <w:p w14:paraId="04712D2D" w14:textId="77777777" w:rsidR="009E5D82" w:rsidRDefault="007B5EE9">
            <w:pPr>
              <w:widowControl w:val="0"/>
              <w:rPr>
                <w:rFonts w:ascii="Arial" w:hAnsi="Arial" w:cs="Arial"/>
                <w:sz w:val="20"/>
                <w:szCs w:val="20"/>
              </w:rPr>
            </w:pPr>
            <w:r>
              <w:rPr>
                <w:rFonts w:ascii="Arial" w:hAnsi="Arial" w:cs="Arial"/>
                <w:b/>
                <w:bCs/>
                <w:sz w:val="20"/>
                <w:szCs w:val="20"/>
              </w:rPr>
              <w:t>Phage</w:t>
            </w:r>
          </w:p>
        </w:tc>
        <w:tc>
          <w:tcPr>
            <w:tcW w:w="1228" w:type="dxa"/>
          </w:tcPr>
          <w:p w14:paraId="04DEBD44" w14:textId="77777777" w:rsidR="009E5D82" w:rsidRDefault="007B5EE9">
            <w:pPr>
              <w:widowControl w:val="0"/>
              <w:rPr>
                <w:rFonts w:ascii="Arial" w:hAnsi="Arial" w:cs="Arial"/>
                <w:sz w:val="20"/>
                <w:szCs w:val="20"/>
              </w:rPr>
            </w:pPr>
            <w:r>
              <w:rPr>
                <w:rFonts w:ascii="Arial" w:hAnsi="Arial" w:cs="Arial"/>
                <w:b/>
                <w:bCs/>
                <w:sz w:val="20"/>
                <w:szCs w:val="20"/>
              </w:rPr>
              <w:t>INSDC accession number</w:t>
            </w:r>
          </w:p>
        </w:tc>
        <w:tc>
          <w:tcPr>
            <w:tcW w:w="1015" w:type="dxa"/>
          </w:tcPr>
          <w:p w14:paraId="700F89BB" w14:textId="77777777" w:rsidR="009E5D82" w:rsidRDefault="007B5EE9">
            <w:pPr>
              <w:widowControl w:val="0"/>
              <w:rPr>
                <w:rFonts w:ascii="Arial" w:hAnsi="Arial" w:cs="Arial"/>
                <w:sz w:val="20"/>
                <w:szCs w:val="20"/>
              </w:rPr>
            </w:pPr>
            <w:r>
              <w:rPr>
                <w:rFonts w:ascii="Arial" w:hAnsi="Arial" w:cs="Arial"/>
                <w:b/>
                <w:bCs/>
                <w:sz w:val="20"/>
                <w:szCs w:val="20"/>
              </w:rPr>
              <w:t>Genome size (bp)</w:t>
            </w:r>
          </w:p>
        </w:tc>
        <w:tc>
          <w:tcPr>
            <w:tcW w:w="939" w:type="dxa"/>
          </w:tcPr>
          <w:p w14:paraId="1F23B556" w14:textId="77777777" w:rsidR="009E5D82" w:rsidRDefault="007B5EE9">
            <w:pPr>
              <w:widowControl w:val="0"/>
              <w:rPr>
                <w:rFonts w:ascii="Arial" w:hAnsi="Arial" w:cs="Arial"/>
                <w:sz w:val="20"/>
                <w:szCs w:val="20"/>
              </w:rPr>
            </w:pPr>
            <w:r>
              <w:rPr>
                <w:rFonts w:ascii="Arial" w:hAnsi="Arial" w:cs="Arial"/>
                <w:b/>
                <w:bCs/>
                <w:sz w:val="20"/>
                <w:szCs w:val="20"/>
              </w:rPr>
              <w:t>GC content (%)</w:t>
            </w:r>
          </w:p>
        </w:tc>
        <w:tc>
          <w:tcPr>
            <w:tcW w:w="972" w:type="dxa"/>
          </w:tcPr>
          <w:p w14:paraId="37F05505" w14:textId="77777777" w:rsidR="009E5D82" w:rsidRDefault="007B5EE9">
            <w:pPr>
              <w:widowControl w:val="0"/>
              <w:rPr>
                <w:rFonts w:ascii="Arial" w:hAnsi="Arial" w:cs="Arial"/>
                <w:sz w:val="20"/>
                <w:szCs w:val="20"/>
              </w:rPr>
            </w:pPr>
            <w:r>
              <w:rPr>
                <w:rFonts w:ascii="Arial" w:hAnsi="Arial" w:cs="Arial"/>
                <w:b/>
                <w:bCs/>
                <w:sz w:val="20"/>
                <w:szCs w:val="20"/>
              </w:rPr>
              <w:t>Number of ORFs</w:t>
            </w:r>
          </w:p>
        </w:tc>
        <w:tc>
          <w:tcPr>
            <w:tcW w:w="972" w:type="dxa"/>
          </w:tcPr>
          <w:p w14:paraId="19FA842D" w14:textId="77777777" w:rsidR="009E5D82" w:rsidRDefault="007B5EE9">
            <w:pPr>
              <w:widowControl w:val="0"/>
              <w:rPr>
                <w:rFonts w:ascii="Arial" w:hAnsi="Arial" w:cs="Arial"/>
                <w:sz w:val="20"/>
                <w:szCs w:val="20"/>
              </w:rPr>
            </w:pPr>
            <w:r>
              <w:rPr>
                <w:rFonts w:ascii="Arial" w:hAnsi="Arial" w:cs="Arial"/>
                <w:b/>
                <w:bCs/>
                <w:sz w:val="20"/>
                <w:szCs w:val="20"/>
              </w:rPr>
              <w:t>Number of tRNA genes</w:t>
            </w:r>
          </w:p>
        </w:tc>
        <w:tc>
          <w:tcPr>
            <w:tcW w:w="1242" w:type="dxa"/>
          </w:tcPr>
          <w:p w14:paraId="3AAD6048" w14:textId="77777777" w:rsidR="009E5D82" w:rsidRDefault="007B5EE9">
            <w:pPr>
              <w:widowControl w:val="0"/>
              <w:rPr>
                <w:rFonts w:ascii="Arial" w:hAnsi="Arial" w:cs="Arial"/>
                <w:sz w:val="20"/>
                <w:szCs w:val="20"/>
              </w:rPr>
            </w:pPr>
            <w:r>
              <w:rPr>
                <w:rFonts w:ascii="Arial" w:hAnsi="Arial" w:cs="Arial"/>
                <w:b/>
                <w:bCs/>
                <w:sz w:val="20"/>
                <w:szCs w:val="20"/>
              </w:rPr>
              <w:t>Nucleotide homology (%)*</w:t>
            </w:r>
          </w:p>
        </w:tc>
        <w:tc>
          <w:tcPr>
            <w:tcW w:w="1602" w:type="dxa"/>
          </w:tcPr>
          <w:p w14:paraId="28536AE5" w14:textId="77777777" w:rsidR="009E5D82" w:rsidRDefault="007B5EE9">
            <w:pPr>
              <w:widowControl w:val="0"/>
              <w:rPr>
                <w:rFonts w:ascii="Arial" w:hAnsi="Arial" w:cs="Arial"/>
                <w:sz w:val="20"/>
                <w:szCs w:val="20"/>
              </w:rPr>
            </w:pPr>
            <w:r>
              <w:rPr>
                <w:rFonts w:ascii="Arial" w:hAnsi="Arial" w:cs="Arial"/>
                <w:b/>
                <w:bCs/>
                <w:sz w:val="20"/>
                <w:szCs w:val="20"/>
              </w:rPr>
              <w:t>Homologous Proteins (%)**</w:t>
            </w:r>
          </w:p>
        </w:tc>
      </w:tr>
      <w:tr w:rsidR="009E5D82" w14:paraId="0966025F" w14:textId="77777777">
        <w:trPr>
          <w:trHeight w:val="315"/>
        </w:trPr>
        <w:tc>
          <w:tcPr>
            <w:tcW w:w="1521" w:type="dxa"/>
            <w:vAlign w:val="center"/>
          </w:tcPr>
          <w:p w14:paraId="4FF6E1B7"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phiRgPS6</w:t>
            </w:r>
          </w:p>
        </w:tc>
        <w:tc>
          <w:tcPr>
            <w:tcW w:w="1228" w:type="dxa"/>
            <w:vAlign w:val="center"/>
          </w:tcPr>
          <w:p w14:paraId="4D3E13A7"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MT980839</w:t>
            </w:r>
          </w:p>
        </w:tc>
        <w:tc>
          <w:tcPr>
            <w:tcW w:w="1015" w:type="dxa"/>
            <w:vAlign w:val="center"/>
          </w:tcPr>
          <w:p w14:paraId="6184D644"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37,780</w:t>
            </w:r>
          </w:p>
        </w:tc>
        <w:tc>
          <w:tcPr>
            <w:tcW w:w="939" w:type="dxa"/>
            <w:vAlign w:val="center"/>
          </w:tcPr>
          <w:p w14:paraId="401CDE6C"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41</w:t>
            </w:r>
          </w:p>
        </w:tc>
        <w:tc>
          <w:tcPr>
            <w:tcW w:w="972" w:type="dxa"/>
            <w:vAlign w:val="center"/>
          </w:tcPr>
          <w:p w14:paraId="2E8DA868"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59</w:t>
            </w:r>
          </w:p>
        </w:tc>
        <w:tc>
          <w:tcPr>
            <w:tcW w:w="972" w:type="dxa"/>
            <w:vAlign w:val="center"/>
          </w:tcPr>
          <w:p w14:paraId="0B826916"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2</w:t>
            </w:r>
          </w:p>
        </w:tc>
        <w:tc>
          <w:tcPr>
            <w:tcW w:w="1242" w:type="dxa"/>
            <w:vAlign w:val="center"/>
          </w:tcPr>
          <w:p w14:paraId="25063986"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w:t>
            </w:r>
          </w:p>
        </w:tc>
        <w:tc>
          <w:tcPr>
            <w:tcW w:w="1602" w:type="dxa"/>
            <w:vAlign w:val="center"/>
          </w:tcPr>
          <w:p w14:paraId="7AD99CEC" w14:textId="77777777" w:rsidR="009E5D82" w:rsidRDefault="007B5EE9">
            <w:pPr>
              <w:widowControl w:val="0"/>
              <w:jc w:val="center"/>
              <w:rPr>
                <w:rFonts w:ascii="Arial" w:hAnsi="Arial" w:cs="Arial"/>
                <w:sz w:val="20"/>
                <w:szCs w:val="20"/>
              </w:rPr>
            </w:pPr>
            <w:r>
              <w:rPr>
                <w:rFonts w:ascii="Arial" w:hAnsi="Arial" w:cs="Arial"/>
                <w:color w:val="000000"/>
                <w:sz w:val="20"/>
                <w:szCs w:val="20"/>
                <w:lang w:val="en-IE" w:eastAsia="en-IE"/>
              </w:rPr>
              <w:t>-</w:t>
            </w:r>
          </w:p>
        </w:tc>
      </w:tr>
    </w:tbl>
    <w:p w14:paraId="2975BB13" w14:textId="77777777" w:rsidR="009E5D82" w:rsidRDefault="009E5D82">
      <w:pPr>
        <w:rPr>
          <w:rFonts w:ascii="Arial" w:hAnsi="Arial" w:cs="Arial"/>
          <w:b/>
          <w:sz w:val="20"/>
          <w:szCs w:val="20"/>
        </w:rPr>
      </w:pPr>
    </w:p>
    <w:p w14:paraId="24968319" w14:textId="77777777" w:rsidR="009E5D82" w:rsidRDefault="007B5EE9">
      <w:pPr>
        <w:rPr>
          <w:rFonts w:ascii="Arial" w:hAnsi="Arial" w:cs="Arial"/>
          <w:sz w:val="20"/>
          <w:szCs w:val="20"/>
        </w:rPr>
      </w:pPr>
      <w:r>
        <w:rPr>
          <w:rFonts w:ascii="Arial" w:hAnsi="Arial" w:cs="Arial"/>
          <w:b/>
          <w:sz w:val="20"/>
          <w:szCs w:val="20"/>
        </w:rPr>
        <w:t xml:space="preserve">Table 4. </w:t>
      </w:r>
      <w:r>
        <w:rPr>
          <w:rFonts w:ascii="Arial" w:hAnsi="Arial" w:cs="Arial"/>
          <w:sz w:val="20"/>
          <w:szCs w:val="20"/>
        </w:rPr>
        <w:t xml:space="preserve">Properties of the phage forming the genus </w:t>
      </w:r>
      <w:r w:rsidR="00FB0FC4" w:rsidRPr="00680D9C">
        <w:rPr>
          <w:rFonts w:ascii="Calibri" w:hAnsi="Calibri" w:cs="Calibri"/>
          <w:i/>
          <w:color w:val="000000"/>
          <w:shd w:val="clear" w:color="auto" w:fill="FFFFFF"/>
        </w:rPr>
        <w:t>Aceathervirus</w:t>
      </w:r>
    </w:p>
    <w:tbl>
      <w:tblPr>
        <w:tblStyle w:val="TableGrid"/>
        <w:tblW w:w="9493" w:type="dxa"/>
        <w:tblLayout w:type="fixed"/>
        <w:tblLook w:val="04A0" w:firstRow="1" w:lastRow="0" w:firstColumn="1" w:lastColumn="0" w:noHBand="0" w:noVBand="1"/>
      </w:tblPr>
      <w:tblGrid>
        <w:gridCol w:w="1522"/>
        <w:gridCol w:w="1229"/>
        <w:gridCol w:w="1015"/>
        <w:gridCol w:w="939"/>
        <w:gridCol w:w="972"/>
        <w:gridCol w:w="972"/>
        <w:gridCol w:w="1242"/>
        <w:gridCol w:w="1602"/>
      </w:tblGrid>
      <w:tr w:rsidR="009E5D82" w14:paraId="099AB2EB" w14:textId="77777777">
        <w:trPr>
          <w:trHeight w:val="900"/>
        </w:trPr>
        <w:tc>
          <w:tcPr>
            <w:tcW w:w="1521" w:type="dxa"/>
          </w:tcPr>
          <w:p w14:paraId="3D301C97" w14:textId="77777777" w:rsidR="009E5D82" w:rsidRDefault="007B5EE9">
            <w:pPr>
              <w:widowControl w:val="0"/>
              <w:rPr>
                <w:rFonts w:ascii="Arial" w:hAnsi="Arial" w:cs="Arial"/>
                <w:sz w:val="20"/>
                <w:szCs w:val="20"/>
              </w:rPr>
            </w:pPr>
            <w:r>
              <w:rPr>
                <w:rFonts w:ascii="Arial" w:hAnsi="Arial" w:cs="Arial"/>
                <w:b/>
                <w:bCs/>
                <w:sz w:val="20"/>
                <w:szCs w:val="20"/>
              </w:rPr>
              <w:t>Phage</w:t>
            </w:r>
          </w:p>
        </w:tc>
        <w:tc>
          <w:tcPr>
            <w:tcW w:w="1228" w:type="dxa"/>
          </w:tcPr>
          <w:p w14:paraId="79C5A3C5" w14:textId="77777777" w:rsidR="009E5D82" w:rsidRDefault="007B5EE9">
            <w:pPr>
              <w:widowControl w:val="0"/>
              <w:rPr>
                <w:rFonts w:ascii="Arial" w:hAnsi="Arial" w:cs="Arial"/>
                <w:sz w:val="20"/>
                <w:szCs w:val="20"/>
              </w:rPr>
            </w:pPr>
            <w:r>
              <w:rPr>
                <w:rFonts w:ascii="Arial" w:hAnsi="Arial" w:cs="Arial"/>
                <w:b/>
                <w:bCs/>
                <w:sz w:val="20"/>
                <w:szCs w:val="20"/>
              </w:rPr>
              <w:t>INSDC accession number</w:t>
            </w:r>
          </w:p>
        </w:tc>
        <w:tc>
          <w:tcPr>
            <w:tcW w:w="1015" w:type="dxa"/>
          </w:tcPr>
          <w:p w14:paraId="2E28B162" w14:textId="77777777" w:rsidR="009E5D82" w:rsidRDefault="007B5EE9">
            <w:pPr>
              <w:widowControl w:val="0"/>
              <w:rPr>
                <w:rFonts w:ascii="Arial" w:hAnsi="Arial" w:cs="Arial"/>
                <w:sz w:val="20"/>
                <w:szCs w:val="20"/>
              </w:rPr>
            </w:pPr>
            <w:r>
              <w:rPr>
                <w:rFonts w:ascii="Arial" w:hAnsi="Arial" w:cs="Arial"/>
                <w:b/>
                <w:bCs/>
                <w:sz w:val="20"/>
                <w:szCs w:val="20"/>
              </w:rPr>
              <w:t>Genome size (bp)</w:t>
            </w:r>
          </w:p>
        </w:tc>
        <w:tc>
          <w:tcPr>
            <w:tcW w:w="939" w:type="dxa"/>
          </w:tcPr>
          <w:p w14:paraId="6A29B6F8" w14:textId="77777777" w:rsidR="009E5D82" w:rsidRDefault="007B5EE9">
            <w:pPr>
              <w:widowControl w:val="0"/>
              <w:rPr>
                <w:rFonts w:ascii="Arial" w:hAnsi="Arial" w:cs="Arial"/>
                <w:sz w:val="20"/>
                <w:szCs w:val="20"/>
              </w:rPr>
            </w:pPr>
            <w:r>
              <w:rPr>
                <w:rFonts w:ascii="Arial" w:hAnsi="Arial" w:cs="Arial"/>
                <w:b/>
                <w:bCs/>
                <w:sz w:val="20"/>
                <w:szCs w:val="20"/>
              </w:rPr>
              <w:t>GC content (%)</w:t>
            </w:r>
          </w:p>
        </w:tc>
        <w:tc>
          <w:tcPr>
            <w:tcW w:w="972" w:type="dxa"/>
          </w:tcPr>
          <w:p w14:paraId="5D5D350A" w14:textId="77777777" w:rsidR="009E5D82" w:rsidRDefault="007B5EE9">
            <w:pPr>
              <w:widowControl w:val="0"/>
              <w:rPr>
                <w:rFonts w:ascii="Arial" w:hAnsi="Arial" w:cs="Arial"/>
                <w:sz w:val="20"/>
                <w:szCs w:val="20"/>
              </w:rPr>
            </w:pPr>
            <w:r>
              <w:rPr>
                <w:rFonts w:ascii="Arial" w:hAnsi="Arial" w:cs="Arial"/>
                <w:b/>
                <w:bCs/>
                <w:sz w:val="20"/>
                <w:szCs w:val="20"/>
              </w:rPr>
              <w:t>Number of ORFs</w:t>
            </w:r>
          </w:p>
        </w:tc>
        <w:tc>
          <w:tcPr>
            <w:tcW w:w="972" w:type="dxa"/>
          </w:tcPr>
          <w:p w14:paraId="5BC89E84" w14:textId="77777777" w:rsidR="009E5D82" w:rsidRDefault="007B5EE9">
            <w:pPr>
              <w:widowControl w:val="0"/>
              <w:rPr>
                <w:rFonts w:ascii="Arial" w:hAnsi="Arial" w:cs="Arial"/>
                <w:sz w:val="20"/>
                <w:szCs w:val="20"/>
              </w:rPr>
            </w:pPr>
            <w:r>
              <w:rPr>
                <w:rFonts w:ascii="Arial" w:hAnsi="Arial" w:cs="Arial"/>
                <w:b/>
                <w:bCs/>
                <w:sz w:val="20"/>
                <w:szCs w:val="20"/>
              </w:rPr>
              <w:t>Number of tRNA genes</w:t>
            </w:r>
          </w:p>
        </w:tc>
        <w:tc>
          <w:tcPr>
            <w:tcW w:w="1242" w:type="dxa"/>
          </w:tcPr>
          <w:p w14:paraId="3A761EA5" w14:textId="77777777" w:rsidR="009E5D82" w:rsidRDefault="007B5EE9">
            <w:pPr>
              <w:widowControl w:val="0"/>
              <w:rPr>
                <w:rFonts w:ascii="Arial" w:hAnsi="Arial" w:cs="Arial"/>
                <w:sz w:val="20"/>
                <w:szCs w:val="20"/>
              </w:rPr>
            </w:pPr>
            <w:r>
              <w:rPr>
                <w:rFonts w:ascii="Arial" w:hAnsi="Arial" w:cs="Arial"/>
                <w:b/>
                <w:bCs/>
                <w:sz w:val="20"/>
                <w:szCs w:val="20"/>
              </w:rPr>
              <w:t>Nucleotide homology (%)*</w:t>
            </w:r>
          </w:p>
        </w:tc>
        <w:tc>
          <w:tcPr>
            <w:tcW w:w="1602" w:type="dxa"/>
          </w:tcPr>
          <w:p w14:paraId="608280F9" w14:textId="77777777" w:rsidR="009E5D82" w:rsidRDefault="007B5EE9">
            <w:pPr>
              <w:widowControl w:val="0"/>
              <w:rPr>
                <w:rFonts w:ascii="Arial" w:hAnsi="Arial" w:cs="Arial"/>
                <w:sz w:val="20"/>
                <w:szCs w:val="20"/>
              </w:rPr>
            </w:pPr>
            <w:r>
              <w:rPr>
                <w:rFonts w:ascii="Arial" w:hAnsi="Arial" w:cs="Arial"/>
                <w:b/>
                <w:bCs/>
                <w:sz w:val="20"/>
                <w:szCs w:val="20"/>
              </w:rPr>
              <w:t>Homologous Proteins (%)**</w:t>
            </w:r>
          </w:p>
        </w:tc>
      </w:tr>
      <w:tr w:rsidR="009E5D82" w14:paraId="45C17675" w14:textId="77777777">
        <w:trPr>
          <w:trHeight w:val="315"/>
        </w:trPr>
        <w:tc>
          <w:tcPr>
            <w:tcW w:w="1521" w:type="dxa"/>
            <w:vAlign w:val="center"/>
          </w:tcPr>
          <w:p w14:paraId="0ECE8869" w14:textId="77777777" w:rsidR="009E5D82" w:rsidRDefault="007B5EE9">
            <w:pPr>
              <w:widowControl w:val="0"/>
              <w:jc w:val="center"/>
              <w:rPr>
                <w:rFonts w:ascii="Arial" w:hAnsi="Arial" w:cs="Arial"/>
                <w:sz w:val="20"/>
                <w:szCs w:val="20"/>
              </w:rPr>
            </w:pPr>
            <w:r>
              <w:rPr>
                <w:rFonts w:ascii="Arial" w:hAnsi="Arial" w:cs="Arial"/>
                <w:sz w:val="20"/>
                <w:szCs w:val="20"/>
              </w:rPr>
              <w:t>phiRM10</w:t>
            </w:r>
          </w:p>
        </w:tc>
        <w:tc>
          <w:tcPr>
            <w:tcW w:w="1228" w:type="dxa"/>
            <w:vAlign w:val="center"/>
          </w:tcPr>
          <w:p w14:paraId="2453EFF9" w14:textId="77777777" w:rsidR="009E5D82" w:rsidRDefault="007B5EE9">
            <w:pPr>
              <w:widowControl w:val="0"/>
              <w:jc w:val="center"/>
              <w:rPr>
                <w:rFonts w:ascii="Arial" w:hAnsi="Arial" w:cs="Arial"/>
                <w:sz w:val="20"/>
                <w:szCs w:val="20"/>
              </w:rPr>
            </w:pPr>
            <w:r>
              <w:rPr>
                <w:rFonts w:ascii="Arial" w:hAnsi="Arial" w:cs="Arial"/>
                <w:sz w:val="20"/>
                <w:szCs w:val="20"/>
              </w:rPr>
              <w:t>MT980841</w:t>
            </w:r>
          </w:p>
        </w:tc>
        <w:tc>
          <w:tcPr>
            <w:tcW w:w="1015" w:type="dxa"/>
            <w:vAlign w:val="center"/>
          </w:tcPr>
          <w:p w14:paraId="4329F667" w14:textId="77777777" w:rsidR="009E5D82" w:rsidRDefault="007B5EE9">
            <w:pPr>
              <w:widowControl w:val="0"/>
              <w:jc w:val="center"/>
              <w:rPr>
                <w:rFonts w:ascii="Arial" w:hAnsi="Arial" w:cs="Arial"/>
                <w:sz w:val="20"/>
                <w:szCs w:val="20"/>
              </w:rPr>
            </w:pPr>
            <w:r>
              <w:rPr>
                <w:rFonts w:ascii="Arial" w:hAnsi="Arial" w:cs="Arial"/>
                <w:sz w:val="20"/>
                <w:szCs w:val="20"/>
              </w:rPr>
              <w:t>36,920</w:t>
            </w:r>
          </w:p>
        </w:tc>
        <w:tc>
          <w:tcPr>
            <w:tcW w:w="939" w:type="dxa"/>
            <w:vAlign w:val="center"/>
          </w:tcPr>
          <w:p w14:paraId="3BDEAA2E" w14:textId="77777777" w:rsidR="009E5D82" w:rsidRDefault="007B5EE9">
            <w:pPr>
              <w:widowControl w:val="0"/>
              <w:jc w:val="center"/>
              <w:rPr>
                <w:rFonts w:ascii="Arial" w:hAnsi="Arial" w:cs="Arial"/>
                <w:sz w:val="20"/>
                <w:szCs w:val="20"/>
              </w:rPr>
            </w:pPr>
            <w:r>
              <w:rPr>
                <w:rFonts w:ascii="Arial" w:hAnsi="Arial" w:cs="Arial"/>
                <w:sz w:val="20"/>
                <w:szCs w:val="20"/>
              </w:rPr>
              <w:t>42</w:t>
            </w:r>
          </w:p>
        </w:tc>
        <w:tc>
          <w:tcPr>
            <w:tcW w:w="972" w:type="dxa"/>
            <w:vAlign w:val="center"/>
          </w:tcPr>
          <w:p w14:paraId="68337B9A" w14:textId="77777777" w:rsidR="009E5D82" w:rsidRDefault="007B5EE9">
            <w:pPr>
              <w:widowControl w:val="0"/>
              <w:jc w:val="center"/>
              <w:rPr>
                <w:rFonts w:ascii="Arial" w:hAnsi="Arial" w:cs="Arial"/>
                <w:sz w:val="20"/>
                <w:szCs w:val="20"/>
              </w:rPr>
            </w:pPr>
            <w:r>
              <w:rPr>
                <w:rFonts w:ascii="Arial" w:hAnsi="Arial" w:cs="Arial"/>
                <w:sz w:val="20"/>
                <w:szCs w:val="20"/>
              </w:rPr>
              <w:t>58</w:t>
            </w:r>
          </w:p>
        </w:tc>
        <w:tc>
          <w:tcPr>
            <w:tcW w:w="972" w:type="dxa"/>
            <w:vAlign w:val="center"/>
          </w:tcPr>
          <w:p w14:paraId="1A19BB6F" w14:textId="77777777" w:rsidR="009E5D82" w:rsidRDefault="007B5EE9">
            <w:pPr>
              <w:widowControl w:val="0"/>
              <w:jc w:val="center"/>
              <w:rPr>
                <w:rFonts w:ascii="Arial" w:hAnsi="Arial" w:cs="Arial"/>
                <w:sz w:val="20"/>
                <w:szCs w:val="20"/>
              </w:rPr>
            </w:pPr>
            <w:r>
              <w:rPr>
                <w:rFonts w:ascii="Arial" w:hAnsi="Arial" w:cs="Arial"/>
                <w:sz w:val="20"/>
                <w:szCs w:val="20"/>
              </w:rPr>
              <w:t>1</w:t>
            </w:r>
          </w:p>
        </w:tc>
        <w:tc>
          <w:tcPr>
            <w:tcW w:w="1242" w:type="dxa"/>
            <w:vAlign w:val="center"/>
          </w:tcPr>
          <w:p w14:paraId="683847CC" w14:textId="77777777" w:rsidR="009E5D82" w:rsidRDefault="007B5EE9">
            <w:pPr>
              <w:widowControl w:val="0"/>
              <w:jc w:val="center"/>
              <w:rPr>
                <w:rFonts w:ascii="Arial" w:hAnsi="Arial" w:cs="Arial"/>
                <w:sz w:val="20"/>
                <w:szCs w:val="20"/>
              </w:rPr>
            </w:pPr>
            <w:r>
              <w:rPr>
                <w:rFonts w:ascii="Arial" w:hAnsi="Arial" w:cs="Arial"/>
                <w:sz w:val="20"/>
                <w:szCs w:val="20"/>
              </w:rPr>
              <w:t>-</w:t>
            </w:r>
          </w:p>
        </w:tc>
        <w:tc>
          <w:tcPr>
            <w:tcW w:w="1602" w:type="dxa"/>
            <w:vAlign w:val="center"/>
          </w:tcPr>
          <w:p w14:paraId="522738F8" w14:textId="77777777" w:rsidR="009E5D82" w:rsidRDefault="007B5EE9">
            <w:pPr>
              <w:widowControl w:val="0"/>
              <w:jc w:val="center"/>
              <w:rPr>
                <w:rFonts w:ascii="Arial" w:hAnsi="Arial" w:cs="Arial"/>
                <w:sz w:val="20"/>
                <w:szCs w:val="20"/>
              </w:rPr>
            </w:pPr>
            <w:r>
              <w:rPr>
                <w:rFonts w:ascii="Arial" w:hAnsi="Arial" w:cs="Arial"/>
                <w:sz w:val="20"/>
                <w:szCs w:val="20"/>
              </w:rPr>
              <w:t>-</w:t>
            </w:r>
          </w:p>
        </w:tc>
      </w:tr>
    </w:tbl>
    <w:p w14:paraId="29EA43B7" w14:textId="77777777" w:rsidR="009E5D82" w:rsidRDefault="009E5D82">
      <w:pPr>
        <w:rPr>
          <w:rFonts w:ascii="Arial" w:hAnsi="Arial" w:cs="Arial"/>
          <w:b/>
          <w:sz w:val="20"/>
          <w:szCs w:val="20"/>
        </w:rPr>
      </w:pPr>
    </w:p>
    <w:p w14:paraId="1B349BD3" w14:textId="77777777" w:rsidR="009E5D82" w:rsidRDefault="007B5EE9">
      <w:pPr>
        <w:rPr>
          <w:rFonts w:ascii="Arial" w:hAnsi="Arial" w:cs="Arial"/>
          <w:sz w:val="20"/>
          <w:szCs w:val="20"/>
        </w:rPr>
      </w:pPr>
      <w:r>
        <w:rPr>
          <w:rFonts w:ascii="Arial" w:hAnsi="Arial" w:cs="Arial"/>
          <w:sz w:val="20"/>
          <w:szCs w:val="20"/>
        </w:rPr>
        <w:t xml:space="preserve">* Determined using BLASTN; ** Determined using CoreGenes 5 </w:t>
      </w:r>
      <w:r>
        <w:fldChar w:fldCharType="begin"/>
      </w:r>
      <w:r>
        <w:rPr>
          <w:rFonts w:ascii="Arial" w:hAnsi="Arial" w:cs="Arial"/>
          <w:sz w:val="20"/>
          <w:szCs w:val="20"/>
        </w:rPr>
        <w:instrText>ADDIN CSL_CITATION {"citationItems":[{"id":"ITEM-1","itemData":{"DOI":"10.1186/1756-0500-6-140","ISSN":"1756-0500","PMID":"23566564","abstract":"BACKGROUND: CoreGenes3.5 is a webserver that determines sets of core genes from viral and small bacterial genomes as an automated batch process. Previous versions of CoreGenes have been used to classify bacteriophage genomes and mine data from pathogen genomes. FINDINGS: CoreGenes3.5 accepts as input GenBank accession numbers of genomes and performs iterative BLASTP analyses to output a set of core genes. After completion of the program run, the results can be either displayed in a new window for one pair of reference and query genomes or emailed to the user for multiple pairs of small genomes in tabular format. CONCLUSIONS: With the number of genomes sequenced increasing daily and interest in determining phylogenetic relationships, CoreGenes3.5 provides a user-friendly web interface for wet-bench biologists to process multiple small genomes for core gene determinations. CoreGenes3.5 is available at http://binf.gmu.edu:8080/CoreGenes3.5.","author":[{"dropping-particle":"","family":"Turner","given":"Dann","non-dropping-particle":"","parse-names":false,"suffix":""},{"dropping-particle":"","family":"Reynolds","given":"Darren","non-dropping-particle":"","parse-names":false,"suffix":""},{"dropping-particle":"","family":"Seto","given":"Donald","non-dropping-particle":"","parse-names":false,"suffix":""},{"dropping-particle":"","family":"Mahadevan","given":"Padmanabhan","non-dropping-particle":"","parse-names":false,"suffix":""}],"container-title":"BMC research notes","id":"ITEM-1","issued":{"date-parts":[["2013","1"]]},"page":"140","title":"CoreGenes3.5: a webserver for the determination of core genes from sets of viral and small bacterial genomes.","type":"article-journal","volume":"6"},"uris":["http://www.mendeley.com/documents/?uuid=9771c6de-1c7c-4b49-b4d6-a6e78e753d7c"]}],"mendeley":{"formattedCitation":"[3]","plainTextFormattedCitation":"[3]","previouslyFormattedCitation":"[3]"},"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4C4AA70C" w14:textId="77777777" w:rsidR="009E5D82" w:rsidRDefault="009E5D82">
      <w:pPr>
        <w:rPr>
          <w:rFonts w:ascii="Arial" w:hAnsi="Arial" w:cs="Arial"/>
          <w:b/>
          <w:sz w:val="20"/>
          <w:szCs w:val="20"/>
        </w:rPr>
      </w:pPr>
    </w:p>
    <w:p w14:paraId="66F75671" w14:textId="77777777" w:rsidR="009E5D82" w:rsidRDefault="009E5D82">
      <w:pPr>
        <w:rPr>
          <w:rFonts w:ascii="Arial" w:hAnsi="Arial" w:cs="Arial"/>
          <w:b/>
          <w:sz w:val="20"/>
          <w:szCs w:val="20"/>
        </w:rPr>
      </w:pPr>
    </w:p>
    <w:p w14:paraId="39BC1A26" w14:textId="77777777" w:rsidR="009E5D82" w:rsidRDefault="009E5D82">
      <w:pPr>
        <w:rPr>
          <w:rFonts w:ascii="Arial" w:hAnsi="Arial" w:cs="Arial"/>
          <w:b/>
          <w:sz w:val="20"/>
          <w:szCs w:val="20"/>
        </w:rPr>
      </w:pPr>
    </w:p>
    <w:p w14:paraId="0043E944" w14:textId="77777777" w:rsidR="009E5D82" w:rsidRDefault="009E5D82">
      <w:pPr>
        <w:rPr>
          <w:rFonts w:ascii="Arial" w:hAnsi="Arial" w:cs="Arial"/>
          <w:b/>
          <w:sz w:val="20"/>
          <w:szCs w:val="20"/>
        </w:rPr>
      </w:pPr>
    </w:p>
    <w:p w14:paraId="485897CA" w14:textId="77777777" w:rsidR="009E5D82" w:rsidRDefault="009E5D82">
      <w:pPr>
        <w:rPr>
          <w:rFonts w:ascii="Arial" w:hAnsi="Arial" w:cs="Arial"/>
          <w:b/>
          <w:sz w:val="20"/>
          <w:szCs w:val="20"/>
        </w:rPr>
      </w:pPr>
    </w:p>
    <w:p w14:paraId="09C4022B" w14:textId="77777777" w:rsidR="009E5D82" w:rsidRPr="00D3281C" w:rsidRDefault="007B5EE9">
      <w:pPr>
        <w:rPr>
          <w:rFonts w:ascii="Arial" w:hAnsi="Arial" w:cs="Arial"/>
          <w:b/>
          <w:color w:val="000000" w:themeColor="text1"/>
          <w:sz w:val="20"/>
          <w:szCs w:val="20"/>
        </w:rPr>
      </w:pPr>
      <w:r w:rsidRPr="00D3281C">
        <w:rPr>
          <w:rFonts w:ascii="Arial" w:hAnsi="Arial" w:cs="Arial"/>
          <w:b/>
          <w:color w:val="000000" w:themeColor="text1"/>
          <w:sz w:val="20"/>
          <w:szCs w:val="20"/>
        </w:rPr>
        <w:t>Phylogeny:</w:t>
      </w:r>
    </w:p>
    <w:p w14:paraId="3F93EF0F" w14:textId="77777777" w:rsidR="009E5D82" w:rsidRDefault="007B5EE9">
      <w:pPr>
        <w:jc w:val="both"/>
      </w:pPr>
      <w:r>
        <w:rPr>
          <w:noProof/>
          <w:lang w:val="en-IE" w:eastAsia="en-IE"/>
        </w:rPr>
        <w:drawing>
          <wp:inline distT="0" distB="0" distL="0" distR="0" wp14:anchorId="147E8584" wp14:editId="54D4C349">
            <wp:extent cx="5882640" cy="1257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a:srcRect l="6982" t="6386" r="7386" b="6232"/>
                    <a:stretch>
                      <a:fillRect/>
                    </a:stretch>
                  </pic:blipFill>
                  <pic:spPr bwMode="auto">
                    <a:xfrm>
                      <a:off x="0" y="0"/>
                      <a:ext cx="5882640" cy="1257300"/>
                    </a:xfrm>
                    <a:prstGeom prst="rect">
                      <a:avLst/>
                    </a:prstGeom>
                  </pic:spPr>
                </pic:pic>
              </a:graphicData>
            </a:graphic>
          </wp:inline>
        </w:drawing>
      </w:r>
    </w:p>
    <w:p w14:paraId="2946D836" w14:textId="77777777" w:rsidR="009E5D82" w:rsidRDefault="007B5EE9">
      <w:pPr>
        <w:jc w:val="both"/>
        <w:rPr>
          <w:rFonts w:ascii="Arial" w:hAnsi="Arial" w:cs="Arial"/>
          <w:sz w:val="20"/>
          <w:szCs w:val="20"/>
        </w:rPr>
      </w:pPr>
      <w:r>
        <w:rPr>
          <w:rFonts w:ascii="Arial" w:hAnsi="Arial" w:cs="Arial"/>
          <w:b/>
          <w:bCs/>
          <w:sz w:val="20"/>
          <w:szCs w:val="20"/>
        </w:rPr>
        <w:t>Figure 2</w:t>
      </w:r>
      <w:r>
        <w:rPr>
          <w:rFonts w:ascii="Arial" w:hAnsi="Arial" w:cs="Arial"/>
          <w:sz w:val="20"/>
          <w:szCs w:val="20"/>
        </w:rPr>
        <w:t xml:space="preserve">. Heatmap showing nucleotide similarity of </w:t>
      </w:r>
      <w:r>
        <w:rPr>
          <w:rFonts w:ascii="Arial" w:hAnsi="Arial" w:cs="Arial"/>
          <w:i/>
          <w:iCs/>
          <w:sz w:val="20"/>
          <w:szCs w:val="20"/>
        </w:rPr>
        <w:t>Ruminococcus</w:t>
      </w:r>
      <w:r>
        <w:rPr>
          <w:rFonts w:ascii="Arial" w:hAnsi="Arial" w:cs="Arial"/>
          <w:sz w:val="20"/>
          <w:szCs w:val="20"/>
        </w:rPr>
        <w:t xml:space="preserve"> phages as calculated with VIRIDIC </w:t>
      </w:r>
      <w:r>
        <w:fldChar w:fldCharType="begin"/>
      </w:r>
      <w:r>
        <w:rPr>
          <w:rFonts w:ascii="Arial" w:hAnsi="Arial" w:cs="Arial"/>
          <w:sz w:val="20"/>
          <w:szCs w:val="20"/>
        </w:rPr>
        <w:instrText>ADDIN CSL_CITATION {"citationItems":[{"id":"ITEM-1","itemData":{"DOI":"10.3390/V12111268","ISSN":"1999-4915","PMID":"33172115","abstract":"Nucleotide-based intergenomic similarities are useful to understand how viruses are related with each other and to classify them. Here we have developed VIRIDIC, which implements the traditional algorithm used by the International Committee on Taxonomy of Viruses (ICTV), Bacterial and Archaeal Viruses Subcommittee, to calculate virus intergenomic similarities. When compared with other software, VIRIDIC gave the best agreement with the traditional algorithm, which is based on the percent identity between two genomes determined by BLASTN. Furthermore, VIRIDIC proved best at estimating the relatedness between more distantly-related phages, relatedness that other tools can significantly overestimate. In addition to the intergenomic similarities, VIRIDIC also calculates three indicators of the alignment ability to capture the relatedness between viruses: the aligned fractions for each genome in a pair and the length ratio between the two genomes. The main output of VIRIDIC is a heatmap integrating the intergenomic similarity values with information regarding the genome lengths and the aligned genome fraction. Additionally, VIRIDIC can group viruses into clusters, based on user-defined intergenomic similarity thresholds. The sensitivity of VIRIDIC is given by the BLASTN. Thus, it is able to capture relationships between viruses having in common even short genomic regions, with as low as 65% similarity. Below this similarity level, protein-based analyses should be used, as they are the best suited to capture distant relationships. VIRIDIC is available at viridic.icbm.de, both as a web-service and a stand-alone tool. It allows fast analysis of large phage genome datasets, especially in the stand-alone version, which can be run on the user&amp;rsquo;s own servers and can be integrated in bioinformatics pipelines. VIRIDIC was developed having viruses of Bacteria and Archaea in mind; however, it could potentially be used for eukaryotic viruses as well, as long as they are monopartite.","author":[{"dropping-particle":"","family":"Moraru","given":"Cristina","non-dropping-particle":"","parse-names":false,"suffix":""},{"dropping-particle":"","family":"Varsani","given":"Arvind","non-dropping-particle":"","parse-names":false,"suffix":""},{"dropping-particle":"","family":"Kropinski","given":"Andrew M.","non-dropping-particle":"","parse-names":false,"suffix":""}],"container-title":"Viruses 2020, Vol. 12, Page 1268","id":"ITEM-1","issue":"11","issued":{"date-parts":[["2020","11","6"]]},"page":"1268","publisher":"Multidisciplinary Digital Publishing Institute","title":"VIRIDIC—A Novel Tool to Calculate the Intergenomic Similarities of Prokaryote-Infecting Viruses","type":"article-journal","volume":"12"},"uris":["http://www.mendeley.com/documents/?uuid=59baecf0-59ba-4bf9-869a-b5cae08b8c62"]}],"mendeley":{"formattedCitation":"[2]","plainTextFormattedCitation":"[2]","previouslyFormattedCitation":"[2]"},"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r>
        <w:rPr>
          <w:rFonts w:ascii="Arial" w:hAnsi="Arial" w:cs="Arial"/>
          <w:sz w:val="20"/>
          <w:szCs w:val="20"/>
        </w:rPr>
        <w:t>.</w:t>
      </w:r>
    </w:p>
    <w:p w14:paraId="1DE14737" w14:textId="77777777" w:rsidR="009E5D82" w:rsidRDefault="009E5D82">
      <w:pPr>
        <w:rPr>
          <w:rFonts w:ascii="Arial" w:hAnsi="Arial" w:cs="Arial"/>
          <w:b/>
          <w:sz w:val="22"/>
          <w:szCs w:val="22"/>
        </w:rPr>
      </w:pPr>
    </w:p>
    <w:p w14:paraId="6675DA47" w14:textId="77777777" w:rsidR="009E5D82" w:rsidRDefault="007B5EE9">
      <w:pPr>
        <w:rPr>
          <w:rFonts w:ascii="Arial" w:hAnsi="Arial" w:cs="Arial"/>
          <w:b/>
          <w:sz w:val="22"/>
          <w:szCs w:val="22"/>
        </w:rPr>
      </w:pPr>
      <w:r>
        <w:rPr>
          <w:noProof/>
          <w:lang w:val="en-IE" w:eastAsia="en-IE"/>
        </w:rPr>
        <w:lastRenderedPageBreak/>
        <w:drawing>
          <wp:inline distT="0" distB="0" distL="0" distR="0" wp14:anchorId="0154B96A" wp14:editId="2A59CE95">
            <wp:extent cx="5730875" cy="340169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3"/>
                    <a:stretch>
                      <a:fillRect/>
                    </a:stretch>
                  </pic:blipFill>
                  <pic:spPr bwMode="auto">
                    <a:xfrm>
                      <a:off x="0" y="0"/>
                      <a:ext cx="5730875" cy="3401695"/>
                    </a:xfrm>
                    <a:prstGeom prst="rect">
                      <a:avLst/>
                    </a:prstGeom>
                  </pic:spPr>
                </pic:pic>
              </a:graphicData>
            </a:graphic>
          </wp:inline>
        </w:drawing>
      </w:r>
    </w:p>
    <w:p w14:paraId="5243B2B4" w14:textId="77777777" w:rsidR="009E5D82" w:rsidRDefault="007B5EE9">
      <w:pPr>
        <w:rPr>
          <w:rFonts w:ascii="Arial" w:hAnsi="Arial" w:cs="Arial"/>
          <w:sz w:val="20"/>
          <w:szCs w:val="20"/>
        </w:rPr>
      </w:pPr>
      <w:r>
        <w:rPr>
          <w:rFonts w:ascii="Arial" w:hAnsi="Arial" w:cs="Arial"/>
          <w:b/>
          <w:sz w:val="20"/>
          <w:szCs w:val="20"/>
        </w:rPr>
        <w:t>Figure 3.</w:t>
      </w:r>
      <w:r>
        <w:rPr>
          <w:rFonts w:ascii="Arial" w:hAnsi="Arial" w:cs="Arial"/>
          <w:sz w:val="20"/>
          <w:szCs w:val="20"/>
        </w:rPr>
        <w:t xml:space="preserve"> Comparison of the genomes of </w:t>
      </w:r>
      <w:r w:rsidRPr="00680D9C">
        <w:rPr>
          <w:rFonts w:ascii="Arial" w:hAnsi="Arial" w:cs="Arial"/>
          <w:i/>
          <w:sz w:val="20"/>
          <w:szCs w:val="20"/>
        </w:rPr>
        <w:t>Ruminococcus</w:t>
      </w:r>
      <w:r>
        <w:rPr>
          <w:rFonts w:ascii="Arial" w:hAnsi="Arial" w:cs="Arial"/>
          <w:sz w:val="20"/>
          <w:szCs w:val="20"/>
        </w:rPr>
        <w:t xml:space="preserve"> phages isolated in this study employing BLASTN and visualisation with Easyfig </w:t>
      </w:r>
      <w:r>
        <w:fldChar w:fldCharType="begin"/>
      </w:r>
      <w:r>
        <w:rPr>
          <w:rFonts w:ascii="Arial" w:hAnsi="Arial" w:cs="Arial"/>
          <w:sz w:val="20"/>
          <w:szCs w:val="20"/>
        </w:rPr>
        <w:instrText>ADDIN CSL_CITATION {"citationItems":[{"id":"ITEM-1","itemData":{"DOI":"10.1093/bioinformatics/btr039","ISSN":"1367-4803","PMID":"21278367","abstract":"UNLABELLED: Easyfig is a Python application for creating linear comparison figures of multiple genomic loci with an easy-to-use graphical user interface. BLAST comparisons between multiple genomic regions, ranging from single genes to whole prokaryote chromosomes, can be generated, visualized and interactively coloured, enabling a rapid transition between analysis and the preparation of publication quality figures. AVAILABILITY: Easyfig is freely available (under a GPL license) for download (for Mac OS X, Unix and Microsoft Windows) from the SourceForge web site: http://easyfig.sourceforge.net/.","author":[{"dropping-particle":"","family":"Sullivan","given":"M.J. J.","non-dropping-particle":"","parse-names":false,"suffix":""},{"dropping-particle":"","family":"Petty","given":"N.K. K.","non-dropping-particle":"","parse-names":false,"suffix":""},{"dropping-particle":"","family":"Beatson","given":"S.A. A.","non-dropping-particle":"","parse-names":false,"suffix":""}],"container-title":"Bioinformatics","id":"ITEM-1","issue":"7","issued":{"date-parts":[["2011","1","28"]]},"page":"1009-1010","title":"Easyfig: a genome comparison visualizer","type":"article-journal","volume":"27"},"uris":["http://www.mendeley.com/documents/?uuid=a41f8c7a-9407-4ff8-8f8c-986663501c0e"]}],"mendeley":{"formattedCitation":"[4]","plainTextFormattedCitation":"[4]","previouslyFormattedCitation":"[5]"},"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[4]</w:t>
      </w:r>
      <w:r>
        <w:rPr>
          <w:rFonts w:ascii="Arial" w:hAnsi="Arial" w:cs="Arial"/>
          <w:sz w:val="20"/>
          <w:szCs w:val="20"/>
        </w:rPr>
        <w:fldChar w:fldCharType="end"/>
      </w:r>
      <w:r>
        <w:rPr>
          <w:rFonts w:ascii="Arial" w:hAnsi="Arial" w:cs="Arial"/>
          <w:sz w:val="20"/>
          <w:szCs w:val="20"/>
        </w:rPr>
        <w:t>. The genome maps display arrows indicating the locations and orientation of ORFs among different phage genomes. Arrows have been colour-coded describing their predicted roles (see key), and shading between the genome maps indicates the level of identity.</w:t>
      </w:r>
    </w:p>
    <w:p w14:paraId="0A2B863A" w14:textId="77777777" w:rsidR="009E5D82" w:rsidRDefault="009E5D82">
      <w:pPr>
        <w:rPr>
          <w:rFonts w:ascii="Arial" w:hAnsi="Arial" w:cs="Arial"/>
          <w:sz w:val="20"/>
          <w:szCs w:val="20"/>
        </w:rPr>
      </w:pPr>
    </w:p>
    <w:p w14:paraId="42C90296" w14:textId="77777777" w:rsidR="009E5D82" w:rsidRDefault="009E5D82">
      <w:pPr>
        <w:rPr>
          <w:rFonts w:ascii="Arial" w:hAnsi="Arial" w:cs="Arial"/>
          <w:sz w:val="20"/>
          <w:szCs w:val="20"/>
        </w:rPr>
      </w:pPr>
    </w:p>
    <w:p w14:paraId="34751214" w14:textId="77777777" w:rsidR="009E5D82" w:rsidRDefault="00B85692">
      <w:pPr>
        <w:rPr>
          <w:rFonts w:ascii="Arial" w:hAnsi="Arial" w:cs="Arial"/>
          <w:sz w:val="20"/>
          <w:szCs w:val="20"/>
        </w:rPr>
      </w:pPr>
      <w:r>
        <w:rPr>
          <w:rFonts w:ascii="Arial" w:hAnsi="Arial" w:cs="Arial"/>
          <w:noProof/>
          <w:sz w:val="20"/>
          <w:szCs w:val="20"/>
          <w:lang w:val="en-IE" w:eastAsia="en-IE"/>
        </w:rPr>
        <w:drawing>
          <wp:inline distT="0" distB="0" distL="0" distR="0" wp14:anchorId="5256F103" wp14:editId="6C68DEFC">
            <wp:extent cx="5858510" cy="2981325"/>
            <wp:effectExtent l="19050" t="19050" r="27940"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8510" cy="2981325"/>
                    </a:xfrm>
                    <a:prstGeom prst="rect">
                      <a:avLst/>
                    </a:prstGeom>
                    <a:ln w="9525" cap="sq">
                      <a:solidFill>
                        <a:srgbClr val="000000"/>
                      </a:solidFill>
                      <a:prstDash val="solid"/>
                      <a:miter lim="800000"/>
                    </a:ln>
                    <a:effectLst/>
                  </pic:spPr>
                </pic:pic>
              </a:graphicData>
            </a:graphic>
          </wp:inline>
        </w:drawing>
      </w:r>
    </w:p>
    <w:p w14:paraId="0A435E17" w14:textId="77777777" w:rsidR="009E5D82" w:rsidRDefault="007B5EE9">
      <w:pPr>
        <w:rPr>
          <w:rFonts w:ascii="Arial" w:hAnsi="Arial" w:cs="Arial"/>
          <w:sz w:val="20"/>
          <w:szCs w:val="20"/>
        </w:rPr>
      </w:pPr>
      <w:r>
        <w:rPr>
          <w:rFonts w:ascii="Arial" w:hAnsi="Arial" w:cs="Arial"/>
          <w:b/>
          <w:sz w:val="20"/>
          <w:szCs w:val="20"/>
        </w:rPr>
        <w:t xml:space="preserve">Figure 4. </w:t>
      </w:r>
      <w:r>
        <w:rPr>
          <w:rFonts w:ascii="Arial" w:hAnsi="Arial" w:cs="Arial"/>
          <w:sz w:val="20"/>
          <w:szCs w:val="20"/>
        </w:rPr>
        <w:t xml:space="preserve">Heatmap illustrates shared genes as calculated by Proteinortho </w:t>
      </w:r>
      <w:r>
        <w:fldChar w:fldCharType="begin"/>
      </w:r>
      <w:r>
        <w:rPr>
          <w:rFonts w:ascii="Arial" w:hAnsi="Arial" w:cs="Arial"/>
          <w:sz w:val="20"/>
          <w:szCs w:val="20"/>
        </w:rPr>
        <w:instrText>ADDIN CSL_CITATION {"citationItems":[{"id":"ITEM-1","itemData":{"DOI":"10.1186/1471-2105-12-124","ISSN":"14712105","PMID":"21526987","abstract":"Background: Orthology analysis is an important part of data analysis in many areas of bioinformatics such as comparative genomics and molecular phylogenetics. The ever-increasing flood of sequence data, and hence the rapidly increasing number of genomes that can be compared simultaneously, calls for efficient software tools as brute-force approaches with quadratic memory requirements become infeasible in practise. The rapid pace at which new data become available, furthermore, makes it desirable to compute genome-wide orthology relations for a given dataset rather than relying on relations listed in databases.Results: The program Proteinortho described here is a stand-alone tool that is geared towards large datasets and makes use of distributed computing techniques when run on multi-core hardware. It implements an extended version of the reciprocal best alignment heuristic. We apply Proteinortho to compute orthologous proteins in the complete set of all 717 eubacterial genomes available at NCBI at the beginning of 2009. We identified thirty proteins present in 99% of all bacterial proteomes.Conclusions: Proteinortho significantly reduces the required amount of memory for orthology analysis compared to existing tools, allowing such computations to be performed on off-the-shelf hardware. © 2011 Lechner et al; licensee BioMed Central Ltd.","author":[{"dropping-particle":"","family":"Lechner","given":"Marcus","non-dropping-particle":"","parse-names":false,"suffix":""},{"dropping-particle":"","family":"Findeiß","given":"Sven","non-dropping-particle":"","parse-names":false,"suffix":""},{"dropping-particle":"","family":"Steiner","given":"Lydia","non-dropping-particle":"","parse-names":false,"suffix":""},{"dropping-particle":"","family":"Marz","given":"Manja","non-dropping-particle":"","parse-names":false,"suffix":""},{"dropping-particle":"","family":"Stadler","given":"P.F. Peter F. P.F.","non-dropping-particle":"","parse-names":false,"suffix":""},{"dropping-particle":"","family":"Prohaska","given":"S.J. Sonja J. S.J.","non-dropping-particle":"","parse-names":false,"suffix":""}],"container-title":"BMC Bioinformatics","id":"ITEM-1","issue":"1","issued":{"date-parts":[["2011","4","28"]]},"page":"124","publisher":"BioMed Central","title":"Proteinortho: Detection of (Co-)orthologs in large-scale analysis","type":"article-journal","volume":"12"},"uris":["http://www.mendeley.com/documents/?uuid=69777557-da15-4547-9ed2-1e61c5f12ed9"]}],"mendeley":{"formattedCitation":"[5]","plainTextFormattedCitation":"[5]","previouslyFormattedCitation":"[6]"},"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[5]</w:t>
      </w:r>
      <w:r>
        <w:rPr>
          <w:rFonts w:ascii="Arial" w:hAnsi="Arial" w:cs="Arial"/>
          <w:sz w:val="20"/>
          <w:szCs w:val="20"/>
        </w:rPr>
        <w:fldChar w:fldCharType="end"/>
      </w:r>
      <w:r>
        <w:rPr>
          <w:rFonts w:ascii="Arial" w:hAnsi="Arial" w:cs="Arial"/>
          <w:sz w:val="20"/>
          <w:szCs w:val="20"/>
        </w:rPr>
        <w:t xml:space="preserve"> (Identity = 30%, coverage = 70%) among </w:t>
      </w:r>
      <w:r w:rsidRPr="00680D9C">
        <w:rPr>
          <w:rFonts w:ascii="Arial" w:hAnsi="Arial" w:cs="Arial"/>
          <w:i/>
          <w:sz w:val="20"/>
          <w:szCs w:val="20"/>
        </w:rPr>
        <w:t>Ruminococcus</w:t>
      </w:r>
      <w:r>
        <w:rPr>
          <w:rFonts w:ascii="Arial" w:hAnsi="Arial" w:cs="Arial"/>
          <w:sz w:val="20"/>
          <w:szCs w:val="20"/>
        </w:rPr>
        <w:t xml:space="preserve"> phages where function of their gene product could be determined. Key describes color coding for the presence absence of genes among phages and the category gene product function is allocated for the gene product in question.</w:t>
      </w:r>
    </w:p>
    <w:p w14:paraId="557D3D25" w14:textId="77777777" w:rsidR="009E5D82" w:rsidRDefault="009E5D82">
      <w:pPr>
        <w:rPr>
          <w:rFonts w:ascii="Arial" w:hAnsi="Arial" w:cs="Arial"/>
          <w:b/>
          <w:sz w:val="22"/>
          <w:szCs w:val="22"/>
        </w:rPr>
      </w:pPr>
    </w:p>
    <w:p w14:paraId="409F9566" w14:textId="77777777" w:rsidR="009E5D82" w:rsidRDefault="007B5EE9">
      <w:pPr>
        <w:rPr>
          <w:rFonts w:ascii="Arial" w:hAnsi="Arial" w:cs="Arial"/>
          <w:sz w:val="20"/>
          <w:szCs w:val="20"/>
        </w:rPr>
      </w:pPr>
      <w:r>
        <w:rPr>
          <w:noProof/>
          <w:lang w:val="en-IE" w:eastAsia="en-IE"/>
        </w:rPr>
        <w:lastRenderedPageBreak/>
        <w:drawing>
          <wp:inline distT="0" distB="0" distL="0" distR="0" wp14:anchorId="0E3F5872" wp14:editId="2F30BA4C">
            <wp:extent cx="5731510" cy="2074545"/>
            <wp:effectExtent l="0" t="0" r="0" b="0"/>
            <wp:docPr id="6"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Table&#10;&#10;Description automatically generated"/>
                    <pic:cNvPicPr>
                      <a:picLocks noChangeAspect="1" noChangeArrowheads="1"/>
                    </pic:cNvPicPr>
                  </pic:nvPicPr>
                  <pic:blipFill>
                    <a:blip r:embed="rId15"/>
                    <a:stretch>
                      <a:fillRect/>
                    </a:stretch>
                  </pic:blipFill>
                  <pic:spPr bwMode="auto">
                    <a:xfrm>
                      <a:off x="0" y="0"/>
                      <a:ext cx="5731510" cy="2074545"/>
                    </a:xfrm>
                    <a:prstGeom prst="rect">
                      <a:avLst/>
                    </a:prstGeom>
                  </pic:spPr>
                </pic:pic>
              </a:graphicData>
            </a:graphic>
          </wp:inline>
        </w:drawing>
      </w:r>
    </w:p>
    <w:p w14:paraId="4533458B" w14:textId="77777777" w:rsidR="009E5D82" w:rsidRDefault="007B5EE9">
      <w:pPr>
        <w:rPr>
          <w:rFonts w:ascii="Arial" w:hAnsi="Arial" w:cs="Arial"/>
          <w:sz w:val="20"/>
          <w:szCs w:val="20"/>
        </w:rPr>
      </w:pPr>
      <w:r>
        <w:rPr>
          <w:rFonts w:ascii="Arial" w:hAnsi="Arial" w:cs="Arial"/>
          <w:b/>
          <w:sz w:val="20"/>
          <w:szCs w:val="20"/>
        </w:rPr>
        <w:t>Figure 5</w:t>
      </w:r>
      <w:r>
        <w:rPr>
          <w:rFonts w:ascii="Arial" w:hAnsi="Arial" w:cs="Arial"/>
          <w:sz w:val="20"/>
          <w:szCs w:val="20"/>
        </w:rPr>
        <w:t xml:space="preserve">. Amino acid VICTOR-generated phylogenomic Genome-BLAST Distance Phylogeny (GBDP) tree inferred using the formula D4 and yielding average support of 67% </w:t>
      </w:r>
      <w:r>
        <w:fldChar w:fldCharType="begin"/>
      </w:r>
      <w:r>
        <w:rPr>
          <w:rFonts w:ascii="Arial" w:hAnsi="Arial" w:cs="Arial"/>
          <w:sz w:val="20"/>
          <w:szCs w:val="20"/>
        </w:rPr>
        <w:instrText>ADDIN CSL_CITATION {"citationItems":[{"id":"ITEM-1","itemData":{"DOI":"10.1093/bioinformatics/btx440","ISSN":"1367-4803","author":[{"dropping-particle":"","family":"Meier-Kolthoff","given":"Jan P","non-dropping-particle":"","parse-names":false,"suffix":""},{"dropping-particle":"","family":"Göker","given":"Markus","non-dropping-particle":"","parse-names":false,"suffix":""}],"container-title":"Bioinformatics","id":"ITEM-1","issue":"21","issued":{"date-parts":[["2017","11","1"]]},"page":"3396-3404","publisher":"Oxford University Press","title":"VICTOR: genome-based phylogeny and classification of prokaryotic viruses","type":"article-journal","volume":"33"},"uris":["http://www.mendeley.com/documents/?uuid=7f859dc8-f4f3-4c2a-a134-0767987562fa"]}],"mendeley":{"formattedCitation":"[6]","plainTextFormattedCitation":"[6]","previouslyFormattedCitation":"[4]"},"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[6]</w:t>
      </w:r>
      <w:r>
        <w:rPr>
          <w:rFonts w:ascii="Arial" w:hAnsi="Arial" w:cs="Arial"/>
          <w:sz w:val="20"/>
          <w:szCs w:val="20"/>
        </w:rPr>
        <w:fldChar w:fldCharType="end"/>
      </w:r>
      <w:r>
        <w:rPr>
          <w:rFonts w:ascii="Arial" w:hAnsi="Arial" w:cs="Arial"/>
          <w:sz w:val="20"/>
          <w:szCs w:val="20"/>
        </w:rPr>
        <w:t xml:space="preserve">. The phylogram includes this study’s </w:t>
      </w:r>
      <w:r w:rsidRPr="00680D9C">
        <w:rPr>
          <w:rFonts w:ascii="Arial" w:hAnsi="Arial" w:cs="Arial"/>
          <w:i/>
          <w:sz w:val="20"/>
          <w:szCs w:val="20"/>
        </w:rPr>
        <w:t>Ruminococcus</w:t>
      </w:r>
      <w:r>
        <w:rPr>
          <w:rFonts w:ascii="Arial" w:hAnsi="Arial" w:cs="Arial"/>
          <w:sz w:val="20"/>
          <w:szCs w:val="20"/>
        </w:rPr>
        <w:t xml:space="preserve"> phages and those that share an evolutionary connection. The genus (if allocated) of phages in the analysis is illustrated. Branch support was inferred from 100 pseudo-bootstrap replicates.</w:t>
      </w:r>
    </w:p>
    <w:p w14:paraId="5AFFB704" w14:textId="77777777" w:rsidR="009E5D82" w:rsidRDefault="009E5D82">
      <w:pPr>
        <w:rPr>
          <w:rFonts w:ascii="Arial" w:hAnsi="Arial" w:cs="Arial"/>
          <w:b/>
          <w:sz w:val="22"/>
          <w:szCs w:val="22"/>
        </w:rPr>
      </w:pPr>
    </w:p>
    <w:p w14:paraId="1F1D0646" w14:textId="77777777" w:rsidR="009E5D82" w:rsidRDefault="007B5EE9">
      <w:pPr>
        <w:spacing w:before="120" w:after="120"/>
        <w:rPr>
          <w:rFonts w:ascii="Arial" w:hAnsi="Arial" w:cs="Arial"/>
          <w:b/>
        </w:rPr>
      </w:pPr>
      <w:r>
        <w:rPr>
          <w:rFonts w:ascii="Arial" w:hAnsi="Arial" w:cs="Arial"/>
          <w:b/>
        </w:rPr>
        <w:t>References</w:t>
      </w:r>
    </w:p>
    <w:p w14:paraId="37865B89" w14:textId="77777777" w:rsidR="009E5D82" w:rsidRDefault="009E5D82">
      <w:pPr>
        <w:rPr>
          <w:rFonts w:ascii="Arial" w:hAnsi="Arial" w:cs="Arial"/>
          <w:color w:val="0000FF"/>
          <w:sz w:val="20"/>
        </w:rPr>
      </w:pPr>
    </w:p>
    <w:p w14:paraId="387261C6" w14:textId="77777777" w:rsidR="009E5D82" w:rsidRPr="00680D9C" w:rsidRDefault="007B5EE9">
      <w:pPr>
        <w:widowControl w:val="0"/>
        <w:ind w:left="640" w:hanging="640"/>
      </w:pPr>
      <w:r w:rsidRPr="00680D9C">
        <w:fldChar w:fldCharType="begin"/>
      </w:r>
      <w:r w:rsidRPr="00680D9C">
        <w:instrText>ADDIN Mendeley Bibliography CSL_BIBLIOGRAPHY</w:instrText>
      </w:r>
      <w:r w:rsidRPr="00680D9C">
        <w:fldChar w:fldCharType="separate"/>
      </w:r>
      <w:r w:rsidRPr="00680D9C">
        <w:t xml:space="preserve">1. </w:t>
      </w:r>
      <w:r w:rsidRPr="00680D9C">
        <w:tab/>
        <w:t>Buttimer C, Khokhlova E, Stein L, et al Temperate bacteriophages infecting the mucin-degrading bacterium Ruminococcus gnavus from the human gut. In press.</w:t>
      </w:r>
    </w:p>
    <w:p w14:paraId="171DBBF4" w14:textId="77777777" w:rsidR="009E5D82" w:rsidRPr="00680D9C" w:rsidRDefault="007B5EE9">
      <w:pPr>
        <w:widowControl w:val="0"/>
        <w:ind w:left="640" w:hanging="640"/>
      </w:pPr>
      <w:r w:rsidRPr="00680D9C">
        <w:t xml:space="preserve">2. </w:t>
      </w:r>
      <w:r w:rsidRPr="00680D9C">
        <w:tab/>
        <w:t>Moraru C, Varsani A, Kropinski AM (2020) VIRIDIC—A Novel Tool to Calculate the Intergenomic Similarities of Prokaryote-Infecting Viruses. Viruses 2020, Vol 12, Page 1268 12:1268. https://doi.org/10.3390/V12111268</w:t>
      </w:r>
    </w:p>
    <w:p w14:paraId="6AC03D01" w14:textId="77777777" w:rsidR="009E5D82" w:rsidRPr="00680D9C" w:rsidRDefault="007B5EE9">
      <w:pPr>
        <w:widowControl w:val="0"/>
        <w:ind w:left="640" w:hanging="640"/>
      </w:pPr>
      <w:r w:rsidRPr="00680D9C">
        <w:t xml:space="preserve">3. </w:t>
      </w:r>
      <w:r w:rsidRPr="00680D9C">
        <w:tab/>
        <w:t>Turner D, Reynolds D, Seto D, Mahadevan P (2013) CoreGenes3.5: a webserver for the determination of core genes from sets of viral and small bacterial genomes. BMC Res Notes 6:140. https://doi.org/10.1186/1756-0500-6-140</w:t>
      </w:r>
    </w:p>
    <w:p w14:paraId="6BF1467F" w14:textId="77777777" w:rsidR="009E5D82" w:rsidRPr="00680D9C" w:rsidRDefault="007B5EE9">
      <w:pPr>
        <w:widowControl w:val="0"/>
        <w:ind w:left="640" w:hanging="640"/>
      </w:pPr>
      <w:r w:rsidRPr="00680D9C">
        <w:t xml:space="preserve">4. </w:t>
      </w:r>
      <w:r w:rsidRPr="00680D9C">
        <w:tab/>
        <w:t>Sullivan MJJ, Petty NKK, Beatson SAA (2011) Easyfig: a genome comparison visualizer. Bioinformatics 27:1009–1010. https://doi.org/10.1093/bioinformatics/btr039</w:t>
      </w:r>
    </w:p>
    <w:p w14:paraId="222A6F00" w14:textId="77777777" w:rsidR="009E5D82" w:rsidRPr="00680D9C" w:rsidRDefault="007B5EE9">
      <w:pPr>
        <w:widowControl w:val="0"/>
        <w:ind w:left="640" w:hanging="640"/>
      </w:pPr>
      <w:r w:rsidRPr="00680D9C">
        <w:t xml:space="preserve">5. </w:t>
      </w:r>
      <w:r w:rsidRPr="00680D9C">
        <w:tab/>
        <w:t>Lechner M, Findeiß S, Steiner L, et al (2011) Proteinortho: Detection of (Co-)orthologs in large-scale analysis. BMC Bioinformatics 12:124. https://doi.org/10.1186/1471-2105-12-124</w:t>
      </w:r>
    </w:p>
    <w:p w14:paraId="50F10607" w14:textId="77777777" w:rsidR="009E5D82" w:rsidRPr="00680D9C" w:rsidRDefault="007B5EE9">
      <w:pPr>
        <w:widowControl w:val="0"/>
        <w:ind w:left="640" w:hanging="640"/>
      </w:pPr>
      <w:r w:rsidRPr="00680D9C">
        <w:t xml:space="preserve">6. </w:t>
      </w:r>
      <w:r w:rsidRPr="00680D9C">
        <w:tab/>
        <w:t>Meier-Kolthoff JP, Göker M (2017) VICTOR: genome-based phylogeny and classification of prokaryotic viruses. Bioinformatics 33:3396–3404. https://doi.org/10.1093/bioinformatics/btx440</w:t>
      </w:r>
    </w:p>
    <w:p w14:paraId="498108C5" w14:textId="77777777" w:rsidR="00680D9C" w:rsidRPr="00680D9C" w:rsidRDefault="00680D9C" w:rsidP="00680D9C">
      <w:pPr>
        <w:widowControl w:val="0"/>
        <w:ind w:left="640" w:hanging="640"/>
      </w:pPr>
      <w:r w:rsidRPr="00680D9C">
        <w:t>7.</w:t>
      </w:r>
      <w:r w:rsidRPr="00680D9C">
        <w:tab/>
        <w:t>O'Leary NA, Wright MW, Brister JR, Ciufo S, Haddad D, McVeigh R, et al. Reference sequence (RefSeq) database at NCBI: current status, taxonomic expansion, and functional annotation. Nucleic Acids Res. 2016;44(D1):D733-45. doi: 10.1093/nar/gkv1189. PMID: 26553804.</w:t>
      </w:r>
    </w:p>
    <w:p w14:paraId="763A3951" w14:textId="77777777" w:rsidR="00680D9C" w:rsidRPr="00680D9C" w:rsidRDefault="007B5EE9" w:rsidP="00680D9C">
      <w:pPr>
        <w:shd w:val="clear" w:color="auto" w:fill="FFFFFF"/>
        <w:ind w:left="640" w:hanging="640"/>
        <w:textAlignment w:val="baseline"/>
        <w:rPr>
          <w:lang w:val="en-IE" w:eastAsia="en-IE"/>
        </w:rPr>
      </w:pPr>
      <w:r w:rsidRPr="00680D9C">
        <w:fldChar w:fldCharType="end"/>
      </w:r>
      <w:r w:rsidR="00680D9C" w:rsidRPr="00680D9C">
        <w:t>8.</w:t>
      </w:r>
      <w:r w:rsidR="00680D9C" w:rsidRPr="00680D9C">
        <w:tab/>
      </w:r>
      <w:r w:rsidR="00680D9C" w:rsidRPr="00680D9C">
        <w:rPr>
          <w:lang w:val="en-IE" w:eastAsia="en-IE"/>
        </w:rPr>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32B5CAC4" w14:textId="77777777" w:rsidR="009E5D82" w:rsidRDefault="009E5D82"/>
    <w:p w14:paraId="0330A23D" w14:textId="77777777" w:rsidR="00680D9C" w:rsidRDefault="00680D9C"/>
    <w:sectPr w:rsidR="00680D9C">
      <w:headerReference w:type="default" r:id="rId16"/>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FF8C" w14:textId="77777777" w:rsidR="00010F40" w:rsidRDefault="00010F40">
      <w:r>
        <w:separator/>
      </w:r>
    </w:p>
  </w:endnote>
  <w:endnote w:type="continuationSeparator" w:id="0">
    <w:p w14:paraId="6FCE3F2E" w14:textId="77777777" w:rsidR="00010F40" w:rsidRDefault="0001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sig w:usb0="E0000AFF" w:usb1="500078FF" w:usb2="00000021" w:usb3="00000000" w:csb0="000001BF" w:csb1="00000000"/>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oto Serif CJK SC">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D755" w14:textId="77777777" w:rsidR="00010F40" w:rsidRDefault="00010F40">
      <w:r>
        <w:separator/>
      </w:r>
    </w:p>
  </w:footnote>
  <w:footnote w:type="continuationSeparator" w:id="0">
    <w:p w14:paraId="216BAA47" w14:textId="77777777" w:rsidR="00010F40" w:rsidRDefault="00010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86A58" w14:textId="7A811A25" w:rsidR="009E5D82" w:rsidRDefault="003C6589">
    <w:pPr>
      <w:pStyle w:val="Header"/>
      <w:jc w:val="right"/>
    </w:pPr>
    <w:r>
      <w:t>April 2023</w:t>
    </w:r>
  </w:p>
  <w:p w14:paraId="36B473C2" w14:textId="77777777" w:rsidR="009E5D82" w:rsidRDefault="009E5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1716A"/>
    <w:multiLevelType w:val="multilevel"/>
    <w:tmpl w:val="9B9C4C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7792EC3"/>
    <w:multiLevelType w:val="multilevel"/>
    <w:tmpl w:val="7654FA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9B80426"/>
    <w:multiLevelType w:val="multilevel"/>
    <w:tmpl w:val="A6C69F9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sz w:val="20"/>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729650089">
    <w:abstractNumId w:val="2"/>
  </w:num>
  <w:num w:numId="2" w16cid:durableId="1300301950">
    <w:abstractNumId w:val="1"/>
  </w:num>
  <w:num w:numId="3" w16cid:durableId="13159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D82"/>
    <w:rsid w:val="00010F40"/>
    <w:rsid w:val="00031058"/>
    <w:rsid w:val="00091A9E"/>
    <w:rsid w:val="00140B7C"/>
    <w:rsid w:val="00297114"/>
    <w:rsid w:val="003C6589"/>
    <w:rsid w:val="00485E2C"/>
    <w:rsid w:val="00530C36"/>
    <w:rsid w:val="005505D3"/>
    <w:rsid w:val="00573848"/>
    <w:rsid w:val="005B023C"/>
    <w:rsid w:val="005B219F"/>
    <w:rsid w:val="00680D9C"/>
    <w:rsid w:val="007B5EE9"/>
    <w:rsid w:val="00840230"/>
    <w:rsid w:val="008830D1"/>
    <w:rsid w:val="00933E04"/>
    <w:rsid w:val="009E5D82"/>
    <w:rsid w:val="00A00FA7"/>
    <w:rsid w:val="00AD76AD"/>
    <w:rsid w:val="00B44279"/>
    <w:rsid w:val="00B85692"/>
    <w:rsid w:val="00BD17E2"/>
    <w:rsid w:val="00C22DC3"/>
    <w:rsid w:val="00C25E13"/>
    <w:rsid w:val="00CC6DE1"/>
    <w:rsid w:val="00CD2965"/>
    <w:rsid w:val="00D3281C"/>
    <w:rsid w:val="00D77B71"/>
    <w:rsid w:val="00E315B0"/>
    <w:rsid w:val="00E61AE1"/>
    <w:rsid w:val="00F32487"/>
    <w:rsid w:val="00FB0FC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CAE3F"/>
  <w15:docId w15:val="{6791B4AB-DBED-4D8E-8837-12238A0F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72D"/>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styleId="Hyperlink">
    <w:name w:val="Hyperlink"/>
    <w:basedOn w:val="DefaultParagraphFont"/>
    <w:unhideWhenUsed/>
    <w:rsid w:val="00137AF4"/>
    <w:rPr>
      <w:color w:val="0563C1" w:themeColor="hyperlink"/>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FollowedHyperlink1">
    <w:name w:val="FollowedHyperlink1"/>
    <w:qFormat/>
    <w:rPr>
      <w:color w:val="800000"/>
      <w:u w:val="single"/>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paragraph" w:styleId="CommentText">
    <w:name w:val="annotation text"/>
    <w:basedOn w:val="Normal"/>
    <w:link w:val="CommentTextChar"/>
    <w:uiPriority w:val="99"/>
    <w:semiHidden/>
    <w:unhideWhenUsed/>
    <w:qFormat/>
    <w:rPr>
      <w:sz w:val="20"/>
      <w:szCs w:val="20"/>
    </w:rPr>
  </w:style>
  <w:style w:type="paragraph" w:styleId="ListParagraph">
    <w:name w:val="List Paragraph"/>
    <w:basedOn w:val="Normal"/>
    <w:uiPriority w:val="34"/>
    <w:qFormat/>
    <w:rsid w:val="00026806"/>
    <w:pPr>
      <w:ind w:left="720"/>
      <w:contextualSpacing/>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13149">
      <w:bodyDiv w:val="1"/>
      <w:marLeft w:val="0"/>
      <w:marRight w:val="0"/>
      <w:marTop w:val="0"/>
      <w:marBottom w:val="0"/>
      <w:divBdr>
        <w:top w:val="none" w:sz="0" w:space="0" w:color="auto"/>
        <w:left w:val="none" w:sz="0" w:space="0" w:color="auto"/>
        <w:bottom w:val="none" w:sz="0" w:space="0" w:color="auto"/>
        <w:right w:val="none" w:sz="0" w:space="0" w:color="auto"/>
      </w:divBdr>
      <w:divsChild>
        <w:div w:id="16680938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A4DC4FA1D954483875C3872E8CDAA" ma:contentTypeVersion="12" ma:contentTypeDescription="Create a new document." ma:contentTypeScope="" ma:versionID="17faeb53fc6c11e97156a43077021120">
  <xsd:schema xmlns:xsd="http://www.w3.org/2001/XMLSchema" xmlns:xs="http://www.w3.org/2001/XMLSchema" xmlns:p="http://schemas.microsoft.com/office/2006/metadata/properties" xmlns:ns2="e78599ef-75bc-41b4-80d7-befcd1036b4b" xmlns:ns3="b5ced378-dae8-47a8-8a9a-d18e2ee9bf56" targetNamespace="http://schemas.microsoft.com/office/2006/metadata/properties" ma:root="true" ma:fieldsID="c2679e0a88eb77a1ce8ce97fcbb2adde" ns2:_="" ns3:_="">
    <xsd:import namespace="e78599ef-75bc-41b4-80d7-befcd1036b4b"/>
    <xsd:import namespace="b5ced378-dae8-47a8-8a9a-d18e2ee9bf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599ef-75bc-41b4-80d7-befcd1036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ed378-dae8-47a8-8a9a-d18e2ee9bf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5bef75-5522-470c-bf79-28828edf1557}" ma:internalName="TaxCatchAll" ma:showField="CatchAllData" ma:web="b5ced378-dae8-47a8-8a9a-d18e2ee9bf5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D3AE0-C191-4561-9F8B-F0D506C9A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599ef-75bc-41b4-80d7-befcd1036b4b"/>
    <ds:schemaRef ds:uri="b5ced378-dae8-47a8-8a9a-d18e2ee9b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C3A88-8CCC-49E0-9CF1-64697C7D29DC}">
  <ds:schemaRefs>
    <ds:schemaRef ds:uri="http://schemas.microsoft.com/sharepoint/v3/contenttype/forms"/>
  </ds:schemaRefs>
</ds:datastoreItem>
</file>

<file path=customXml/itemProps3.xml><?xml version="1.0" encoding="utf-8"?>
<ds:datastoreItem xmlns:ds="http://schemas.openxmlformats.org/officeDocument/2006/customXml" ds:itemID="{FE2CBC65-BA63-4911-926A-22A05D112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7</Pages>
  <Words>5221</Words>
  <Characters>29764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 Murilo Zerbini</cp:lastModifiedBy>
  <cp:revision>55</cp:revision>
  <dcterms:created xsi:type="dcterms:W3CDTF">2022-03-11T03:03:00Z</dcterms:created>
  <dcterms:modified xsi:type="dcterms:W3CDTF">2023-07-06T05:41:00Z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Mendeley Citation Style_1">
    <vt:lpwstr>http://www.zotero.org/styles/archives-of-virology</vt:lpwstr>
  </property>
  <property fmtid="{D5CDD505-2E9C-101B-9397-08002B2CF9AE}" pid="5" name="Mendeley Document_1">
    <vt:lpwstr>True</vt:lpwstr>
  </property>
  <property fmtid="{D5CDD505-2E9C-101B-9397-08002B2CF9AE}" pid="6" name="Mendeley Recent Style Id 0_1">
    <vt:lpwstr>http://www.zotero.org/styles/american-political-science-association</vt:lpwstr>
  </property>
  <property fmtid="{D5CDD505-2E9C-101B-9397-08002B2CF9AE}" pid="7" name="Mendeley Recent Style Id 1_1">
    <vt:lpwstr>http://www.zotero.org/styles/antibiotics</vt:lpwstr>
  </property>
  <property fmtid="{D5CDD505-2E9C-101B-9397-08002B2CF9AE}" pid="8" name="Mendeley Recent Style Id 2_1">
    <vt:lpwstr>http://www.zotero.org/styles/archives-of-virology</vt:lpwstr>
  </property>
  <property fmtid="{D5CDD505-2E9C-101B-9397-08002B2CF9AE}" pid="9" name="Mendeley Recent Style Id 3_1">
    <vt:lpwstr>http://www.zotero.org/styles/frontiers-in-microbiology</vt:lpwstr>
  </property>
  <property fmtid="{D5CDD505-2E9C-101B-9397-08002B2CF9AE}" pid="10" name="Mendeley Recent Style Id 4_1">
    <vt:lpwstr>http://www.zotero.org/styles/ieee</vt:lpwstr>
  </property>
  <property fmtid="{D5CDD505-2E9C-101B-9397-08002B2CF9AE}" pid="11" name="Mendeley Recent Style Id 5_1">
    <vt:lpwstr>http://www.zotero.org/styles/international-journal-of-molecular-sciences</vt:lpwstr>
  </property>
  <property fmtid="{D5CDD505-2E9C-101B-9397-08002B2CF9AE}" pid="12" name="Mendeley Recent Style Id 6_1">
    <vt:lpwstr>http://www.zotero.org/styles/microbiome</vt:lpwstr>
  </property>
  <property fmtid="{D5CDD505-2E9C-101B-9397-08002B2CF9AE}" pid="13" name="Mendeley Recent Style Id 7_1">
    <vt:lpwstr>http://www.zotero.org/styles/nature</vt:lpwstr>
  </property>
  <property fmtid="{D5CDD505-2E9C-101B-9397-08002B2CF9AE}" pid="14" name="Mendeley Recent Style Id 8_1">
    <vt:lpwstr>http://www.zotero.org/styles/viruses</vt:lpwstr>
  </property>
  <property fmtid="{D5CDD505-2E9C-101B-9397-08002B2CF9AE}" pid="15" name="Mendeley Recent Style Id 9_1">
    <vt:lpwstr>http://www.zotero.org/styles/elife</vt:lpwstr>
  </property>
  <property fmtid="{D5CDD505-2E9C-101B-9397-08002B2CF9AE}" pid="16" name="Mendeley Recent Style Name 0_1">
    <vt:lpwstr>American Political Science Association</vt:lpwstr>
  </property>
  <property fmtid="{D5CDD505-2E9C-101B-9397-08002B2CF9AE}" pid="17" name="Mendeley Recent Style Name 1_1">
    <vt:lpwstr>Antibiotics</vt:lpwstr>
  </property>
  <property fmtid="{D5CDD505-2E9C-101B-9397-08002B2CF9AE}" pid="18" name="Mendeley Recent Style Name 2_1">
    <vt:lpwstr>Archives of Virology</vt:lpwstr>
  </property>
  <property fmtid="{D5CDD505-2E9C-101B-9397-08002B2CF9AE}" pid="19" name="Mendeley Recent Style Name 3_1">
    <vt:lpwstr>Frontiers in Microbiology</vt:lpwstr>
  </property>
  <property fmtid="{D5CDD505-2E9C-101B-9397-08002B2CF9AE}" pid="20" name="Mendeley Recent Style Name 4_1">
    <vt:lpwstr>IEEE</vt:lpwstr>
  </property>
  <property fmtid="{D5CDD505-2E9C-101B-9397-08002B2CF9AE}" pid="21" name="Mendeley Recent Style Name 5_1">
    <vt:lpwstr>International Journal of Molecular Sciences</vt:lpwstr>
  </property>
  <property fmtid="{D5CDD505-2E9C-101B-9397-08002B2CF9AE}" pid="22" name="Mendeley Recent Style Name 6_1">
    <vt:lpwstr>Microbiome</vt:lpwstr>
  </property>
  <property fmtid="{D5CDD505-2E9C-101B-9397-08002B2CF9AE}" pid="23" name="Mendeley Recent Style Name 7_1">
    <vt:lpwstr>Nature</vt:lpwstr>
  </property>
  <property fmtid="{D5CDD505-2E9C-101B-9397-08002B2CF9AE}" pid="24" name="Mendeley Recent Style Name 8_1">
    <vt:lpwstr>Viruses</vt:lpwstr>
  </property>
  <property fmtid="{D5CDD505-2E9C-101B-9397-08002B2CF9AE}" pid="25" name="Mendeley Recent Style Name 9_1">
    <vt:lpwstr>eLife</vt:lpwstr>
  </property>
  <property fmtid="{D5CDD505-2E9C-101B-9397-08002B2CF9AE}" pid="26" name="Mendeley Unique User Id_1">
    <vt:lpwstr>1e642bc7-8f0c-3b5f-a54b-e5e528ea3fe2</vt:lpwstr>
  </property>
  <property fmtid="{D5CDD505-2E9C-101B-9397-08002B2CF9AE}" pid="27" name="ScaleCrop">
    <vt:bool>false</vt:bool>
  </property>
  <property fmtid="{D5CDD505-2E9C-101B-9397-08002B2CF9AE}" pid="28" name="ShareDoc">
    <vt:bool>false</vt:bool>
  </property>
</Properties>
</file>