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7777777" w:rsidR="00A174CC" w:rsidRDefault="008815EE">
            <w:pPr>
              <w:pStyle w:val="BodyTextIndent"/>
              <w:ind w:left="0" w:firstLine="0"/>
              <w:jc w:val="center"/>
              <w:rPr>
                <w:rFonts w:ascii="Arial" w:hAnsi="Arial" w:cs="Arial"/>
                <w:b/>
                <w:bCs/>
                <w:i/>
                <w:sz w:val="28"/>
                <w:szCs w:val="28"/>
              </w:rPr>
            </w:pPr>
            <w:r>
              <w:rPr>
                <w:rFonts w:ascii="Arial" w:hAnsi="Arial" w:cs="Arial"/>
                <w:b/>
                <w:bCs/>
                <w:color w:val="0000FF"/>
                <w:sz w:val="28"/>
                <w:szCs w:val="28"/>
              </w:rPr>
              <w:t>to be assigned by ICTV officers</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3F9CA7D"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D33A63">
              <w:rPr>
                <w:rFonts w:ascii="Arial" w:hAnsi="Arial" w:cs="Arial"/>
                <w:bCs/>
              </w:rPr>
              <w:t xml:space="preserve">To create two single-species genera, </w:t>
            </w:r>
            <w:r w:rsidR="00D33A63" w:rsidRPr="00864E72">
              <w:rPr>
                <w:rFonts w:ascii="Arial" w:hAnsi="Arial" w:cs="Arial"/>
                <w:bCs/>
                <w:i/>
                <w:iCs/>
              </w:rPr>
              <w:t>Athenavirus</w:t>
            </w:r>
            <w:r w:rsidR="00D33A63">
              <w:rPr>
                <w:rFonts w:ascii="Arial" w:hAnsi="Arial" w:cs="Arial"/>
                <w:bCs/>
              </w:rPr>
              <w:t xml:space="preserve"> and </w:t>
            </w:r>
            <w:r w:rsidR="00D33A63" w:rsidRPr="00094D73">
              <w:rPr>
                <w:rFonts w:ascii="Arial" w:hAnsi="Arial" w:cs="Arial"/>
                <w:bCs/>
                <w:i/>
                <w:iCs/>
              </w:rPr>
              <w:t>Theosmithvirus</w:t>
            </w:r>
            <w:r w:rsidR="00D33A63">
              <w:rPr>
                <w:rFonts w:ascii="Arial" w:hAnsi="Arial" w:cs="Arial"/>
                <w:bCs/>
              </w:rPr>
              <w:t xml:space="preserve"> [</w:t>
            </w:r>
            <w:r w:rsidR="00D33A63" w:rsidRPr="00255BAE">
              <w:rPr>
                <w:rFonts w:ascii="Arial" w:hAnsi="Arial" w:cs="Arial"/>
                <w:bCs/>
                <w:i/>
                <w:iCs/>
              </w:rPr>
              <w:t>Caudoviricetes</w:t>
            </w:r>
            <w:r w:rsidR="00D33A63">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D33A63" w14:paraId="67E4419A" w14:textId="77777777" w:rsidTr="00257966">
        <w:tc>
          <w:tcPr>
            <w:tcW w:w="4368" w:type="dxa"/>
            <w:shd w:val="clear" w:color="auto" w:fill="auto"/>
          </w:tcPr>
          <w:p w14:paraId="04EDA256" w14:textId="77777777" w:rsidR="00D33A63" w:rsidRDefault="00D33A63" w:rsidP="00D33A63">
            <w:pPr>
              <w:rPr>
                <w:rFonts w:ascii="Arial" w:hAnsi="Arial" w:cs="Arial"/>
                <w:sz w:val="22"/>
                <w:szCs w:val="22"/>
              </w:rPr>
            </w:pPr>
            <w:r>
              <w:rPr>
                <w:rFonts w:ascii="Arial" w:hAnsi="Arial" w:cs="Arial"/>
                <w:sz w:val="22"/>
                <w:szCs w:val="22"/>
              </w:rPr>
              <w:t xml:space="preserve">Serwer P, Barylski J, Turner D, </w:t>
            </w:r>
            <w:r w:rsidRPr="009B0276">
              <w:rPr>
                <w:rFonts w:ascii="Arial" w:hAnsi="Arial" w:cs="Arial"/>
                <w:sz w:val="22"/>
                <w:szCs w:val="22"/>
              </w:rPr>
              <w:t xml:space="preserve">Moraru C, </w:t>
            </w:r>
            <w:r>
              <w:rPr>
                <w:rFonts w:ascii="Arial" w:hAnsi="Arial" w:cs="Arial"/>
                <w:sz w:val="22"/>
                <w:szCs w:val="22"/>
              </w:rPr>
              <w:t>Tolstoy I, Kropinski AM</w:t>
            </w:r>
          </w:p>
          <w:p w14:paraId="2B79816E" w14:textId="77777777" w:rsidR="00D33A63" w:rsidRDefault="00D33A63" w:rsidP="00D33A63">
            <w:pPr>
              <w:rPr>
                <w:rFonts w:ascii="Arial" w:hAnsi="Arial" w:cs="Arial"/>
                <w:sz w:val="22"/>
                <w:szCs w:val="22"/>
              </w:rPr>
            </w:pPr>
          </w:p>
          <w:p w14:paraId="6F6717AC" w14:textId="77777777" w:rsidR="00D33A63" w:rsidRDefault="00D33A63" w:rsidP="00D33A63">
            <w:pPr>
              <w:rPr>
                <w:rFonts w:ascii="Arial" w:hAnsi="Arial" w:cs="Arial"/>
                <w:sz w:val="22"/>
                <w:szCs w:val="22"/>
              </w:rPr>
            </w:pPr>
          </w:p>
          <w:p w14:paraId="610422F5" w14:textId="77777777" w:rsidR="00D33A63" w:rsidRDefault="00D33A63" w:rsidP="00D33A63">
            <w:pPr>
              <w:rPr>
                <w:rFonts w:ascii="Arial" w:hAnsi="Arial" w:cs="Arial"/>
                <w:sz w:val="22"/>
                <w:szCs w:val="22"/>
              </w:rPr>
            </w:pPr>
          </w:p>
          <w:p w14:paraId="5B4DA008" w14:textId="77777777" w:rsidR="00D33A63" w:rsidRDefault="00D33A63" w:rsidP="00D33A63">
            <w:pPr>
              <w:rPr>
                <w:rFonts w:ascii="Arial" w:hAnsi="Arial" w:cs="Arial"/>
                <w:sz w:val="22"/>
                <w:szCs w:val="22"/>
              </w:rPr>
            </w:pPr>
          </w:p>
        </w:tc>
        <w:tc>
          <w:tcPr>
            <w:tcW w:w="4704" w:type="dxa"/>
            <w:shd w:val="clear" w:color="auto" w:fill="auto"/>
          </w:tcPr>
          <w:p w14:paraId="4C0145EC" w14:textId="76BE0C68" w:rsidR="00D33A63" w:rsidRDefault="00D33A63" w:rsidP="00D33A63">
            <w:pPr>
              <w:rPr>
                <w:rFonts w:ascii="Arial" w:hAnsi="Arial" w:cs="Arial"/>
                <w:sz w:val="22"/>
                <w:szCs w:val="22"/>
              </w:rPr>
            </w:pPr>
            <w:r w:rsidRPr="00702B4C">
              <w:rPr>
                <w:rFonts w:ascii="Arial" w:hAnsi="Arial" w:cs="Arial"/>
                <w:sz w:val="22"/>
                <w:szCs w:val="22"/>
              </w:rPr>
              <w:t>serwer@uthscsa.edu; jakub.barylski@gmail.com; Dann2.Turner@uwe.ac.uk; liliana.cristina.moraru@uol.de; tolstoy@ncbi.nlm.nih.gov; Phage.Canada@gmail.com</w:t>
            </w:r>
          </w:p>
        </w:tc>
      </w:tr>
    </w:tbl>
    <w:p w14:paraId="66BE9775" w14:textId="7693B3B7" w:rsidR="00A174CC" w:rsidRPr="002D5209" w:rsidRDefault="008815EE" w:rsidP="002D5209">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668C783" w14:textId="77777777" w:rsidR="00D33A63" w:rsidRDefault="00D33A63" w:rsidP="00D33A63">
            <w:pPr>
              <w:rPr>
                <w:rFonts w:ascii="Arial" w:hAnsi="Arial" w:cs="Arial"/>
                <w:sz w:val="22"/>
                <w:szCs w:val="22"/>
              </w:rPr>
            </w:pPr>
            <w:r w:rsidRPr="00094D73">
              <w:rPr>
                <w:rFonts w:ascii="Arial" w:hAnsi="Arial" w:cs="Arial"/>
                <w:sz w:val="22"/>
                <w:szCs w:val="22"/>
              </w:rPr>
              <w:t>University of Texas Health Science Center</w:t>
            </w:r>
            <w:r>
              <w:rPr>
                <w:rFonts w:ascii="Arial" w:hAnsi="Arial" w:cs="Arial"/>
                <w:sz w:val="22"/>
                <w:szCs w:val="22"/>
              </w:rPr>
              <w:t xml:space="preserve">, </w:t>
            </w:r>
            <w:r w:rsidRPr="00094D73">
              <w:rPr>
                <w:rFonts w:ascii="Arial" w:hAnsi="Arial" w:cs="Arial"/>
                <w:sz w:val="22"/>
                <w:szCs w:val="22"/>
              </w:rPr>
              <w:t>San Antonio, TX</w:t>
            </w:r>
            <w:r>
              <w:rPr>
                <w:rFonts w:ascii="Arial" w:hAnsi="Arial" w:cs="Arial"/>
                <w:sz w:val="22"/>
                <w:szCs w:val="22"/>
              </w:rPr>
              <w:t>, USA [PS]</w:t>
            </w:r>
          </w:p>
          <w:p w14:paraId="7CBAA934" w14:textId="77777777" w:rsidR="00D33A63" w:rsidRPr="002D5209" w:rsidRDefault="00D33A63" w:rsidP="00D33A63">
            <w:pPr>
              <w:rPr>
                <w:rFonts w:ascii="Arial" w:hAnsi="Arial" w:cs="Arial"/>
                <w:sz w:val="22"/>
                <w:szCs w:val="22"/>
                <w:lang w:val="pl-PL"/>
              </w:rPr>
            </w:pPr>
            <w:r w:rsidRPr="002D5209">
              <w:rPr>
                <w:rFonts w:ascii="Arial" w:hAnsi="Arial" w:cs="Arial"/>
                <w:sz w:val="22"/>
                <w:szCs w:val="22"/>
                <w:lang w:val="pl-PL"/>
              </w:rPr>
              <w:t>Adam Mickiewicz University, Poznan, Poland [JB]</w:t>
            </w:r>
          </w:p>
          <w:p w14:paraId="1FFA2E12" w14:textId="77777777" w:rsidR="00D33A63" w:rsidRDefault="00D33A63" w:rsidP="00D33A63">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BC63DE2" w14:textId="77777777" w:rsidR="00D33A63" w:rsidRPr="002D5209" w:rsidRDefault="00D33A63" w:rsidP="00D33A63">
            <w:pPr>
              <w:rPr>
                <w:rFonts w:ascii="Arial" w:hAnsi="Arial" w:cs="Arial"/>
                <w:sz w:val="22"/>
                <w:szCs w:val="22"/>
                <w:lang w:val="de-DE"/>
              </w:rPr>
            </w:pPr>
            <w:r w:rsidRPr="002D5209">
              <w:rPr>
                <w:rFonts w:ascii="Arial" w:hAnsi="Arial" w:cs="Arial"/>
                <w:sz w:val="22"/>
                <w:szCs w:val="22"/>
                <w:lang w:val="de-DE"/>
              </w:rPr>
              <w:t>Carl von Ossietzky Universität Oldenburg, Germany [CM]</w:t>
            </w:r>
          </w:p>
          <w:p w14:paraId="5F40DCAB" w14:textId="77777777" w:rsidR="00D33A63" w:rsidRDefault="00D33A63" w:rsidP="00D33A63">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565E7698" w14:textId="77777777" w:rsidR="00D33A63" w:rsidRDefault="00D33A63" w:rsidP="00D33A63">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6DDA7A80" w:rsidR="00437970" w:rsidRDefault="00D33A63" w:rsidP="00D33A63">
            <w:pPr>
              <w:rPr>
                <w:rFonts w:ascii="Arial" w:hAnsi="Arial" w:cs="Arial"/>
                <w:sz w:val="22"/>
                <w:szCs w:val="22"/>
              </w:rPr>
            </w:pPr>
            <w:r>
              <w:rPr>
                <w:rFonts w:ascii="Arial" w:hAnsi="Arial" w:cs="Arial"/>
                <w:sz w:val="22"/>
                <w:szCs w:val="22"/>
              </w:rPr>
              <w:t>Andrew M. Kropinski</w:t>
            </w:r>
          </w:p>
        </w:tc>
      </w:tr>
    </w:tbl>
    <w:p w14:paraId="3A50F9C2" w14:textId="01A997D9" w:rsidR="00437970" w:rsidRPr="002D5209" w:rsidRDefault="008815EE" w:rsidP="002D5209">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0950CB07" w14:textId="77777777" w:rsidR="00D33A63" w:rsidRDefault="00D33A63" w:rsidP="00D33A63">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0D538D50" w14:textId="41C56134" w:rsidR="00A174CC" w:rsidRPr="002D5209" w:rsidRDefault="008815EE" w:rsidP="002D5209">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D7F95A4" w14:textId="77777777" w:rsidR="002D5209" w:rsidRDefault="002D5209">
      <w:pPr>
        <w:spacing w:before="120" w:after="120"/>
        <w:rPr>
          <w:rFonts w:ascii="Arial" w:hAnsi="Arial" w:cs="Arial"/>
          <w:b/>
        </w:rPr>
      </w:pPr>
    </w:p>
    <w:p w14:paraId="320F9A0C" w14:textId="4C2EE121"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29C8892" w:rsidR="00A174CC" w:rsidRPr="000A146A" w:rsidRDefault="002D5209">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4C563A2" w:rsidR="00A174CC" w:rsidRDefault="00255BAE">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5231CF" w14:paraId="23CC3CF3" w14:textId="77777777">
        <w:tc>
          <w:tcPr>
            <w:tcW w:w="9072" w:type="dxa"/>
            <w:shd w:val="clear" w:color="auto" w:fill="auto"/>
          </w:tcPr>
          <w:p w14:paraId="5E05E919" w14:textId="28366710" w:rsidR="00A174CC" w:rsidRPr="005231CF" w:rsidRDefault="005231CF">
            <w:pPr>
              <w:spacing w:before="120" w:after="120"/>
              <w:rPr>
                <w:rFonts w:ascii="Arial" w:hAnsi="Arial" w:cs="Arial"/>
                <w:bCs/>
                <w:sz w:val="22"/>
                <w:szCs w:val="22"/>
              </w:rPr>
            </w:pPr>
            <w:r w:rsidRPr="005231CF">
              <w:rPr>
                <w:rFonts w:ascii="Arial" w:hAnsi="Arial" w:cs="Arial"/>
                <w:bCs/>
              </w:rPr>
              <w:t>2023.008B.N.v1.Athenavirus</w:t>
            </w:r>
            <w:r>
              <w:rPr>
                <w:rFonts w:ascii="Arial" w:hAnsi="Arial" w:cs="Arial"/>
                <w:bCs/>
              </w:rPr>
              <w:t>_</w:t>
            </w:r>
            <w:r w:rsidRPr="005231CF">
              <w:rPr>
                <w:rFonts w:ascii="Arial" w:hAnsi="Arial" w:cs="Arial"/>
                <w:bCs/>
              </w:rPr>
              <w:t>Theosmithvirus_2ng</w:t>
            </w:r>
            <w:r w:rsidRPr="005231CF">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464D9DF8" w14:textId="0467C8C7" w:rsidR="00A174CC" w:rsidRDefault="00D33A63">
            <w:pPr>
              <w:rPr>
                <w:rFonts w:ascii="Arial" w:hAnsi="Arial" w:cs="Arial"/>
                <w:b/>
                <w:sz w:val="22"/>
                <w:szCs w:val="22"/>
              </w:rPr>
            </w:pPr>
            <w:r>
              <w:rPr>
                <w:rFonts w:ascii="Arial" w:hAnsi="Arial" w:cs="Arial"/>
                <w:bCs/>
                <w:sz w:val="22"/>
                <w:szCs w:val="22"/>
              </w:rPr>
              <w:t xml:space="preserve">We have created two new genera for novel Bacillus siphoviruses – </w:t>
            </w:r>
            <w:r w:rsidRPr="00211FAD">
              <w:rPr>
                <w:rFonts w:ascii="Arial" w:hAnsi="Arial" w:cs="Arial"/>
                <w:bCs/>
                <w:i/>
                <w:iCs/>
                <w:sz w:val="22"/>
                <w:szCs w:val="22"/>
              </w:rPr>
              <w:t>Athenavirus</w:t>
            </w:r>
            <w:r>
              <w:rPr>
                <w:rFonts w:ascii="Arial" w:hAnsi="Arial" w:cs="Arial"/>
                <w:bCs/>
                <w:sz w:val="22"/>
                <w:szCs w:val="22"/>
              </w:rPr>
              <w:t xml:space="preserve"> and </w:t>
            </w:r>
            <w:r w:rsidRPr="00211FAD">
              <w:rPr>
                <w:rFonts w:ascii="Arial" w:hAnsi="Arial" w:cs="Arial"/>
                <w:bCs/>
                <w:i/>
                <w:iCs/>
                <w:sz w:val="22"/>
                <w:szCs w:val="22"/>
              </w:rPr>
              <w:t>Theosmithvirus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390BAF69" w14:textId="77777777" w:rsidR="00D33A63" w:rsidRDefault="00D33A63" w:rsidP="00D33A63">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10552743" w14:textId="77777777" w:rsidR="00D33A63" w:rsidRDefault="00D33A63" w:rsidP="00D33A63">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2DD00032" w14:textId="77777777" w:rsidR="00D33A63" w:rsidRDefault="00D33A63" w:rsidP="00D33A63">
                  <w:pPr>
                    <w:rPr>
                      <w:rFonts w:ascii="Arial" w:hAnsi="Arial" w:cs="Arial"/>
                      <w:color w:val="0000FF"/>
                      <w:sz w:val="22"/>
                      <w:szCs w:val="22"/>
                    </w:rPr>
                  </w:pPr>
                </w:p>
                <w:p w14:paraId="1FA44340" w14:textId="77777777" w:rsidR="00D33A63" w:rsidRDefault="00D33A63" w:rsidP="00D33A63">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7C15711" w14:textId="77777777" w:rsidR="00D33A63" w:rsidRDefault="00D33A63" w:rsidP="00D33A63">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Pr>
          <w:rFonts w:ascii="Arial" w:hAnsi="Arial" w:cs="Arial"/>
          <w:b/>
          <w:color w:val="0000FF"/>
          <w:szCs w:val="24"/>
        </w:rPr>
        <w:t xml:space="preserve"> </w:t>
      </w:r>
      <w:r w:rsidRPr="005D5009">
        <w:rPr>
          <w:rFonts w:ascii="Arial" w:hAnsi="Arial" w:cs="Arial"/>
          <w:b/>
          <w:color w:val="0000FF"/>
          <w:sz w:val="22"/>
          <w:szCs w:val="22"/>
        </w:rPr>
        <w:t>Data:</w:t>
      </w:r>
    </w:p>
    <w:p w14:paraId="4F3627AD" w14:textId="77777777" w:rsidR="00D33A63" w:rsidRDefault="00D33A63" w:rsidP="00D33A63">
      <w:pPr>
        <w:pStyle w:val="BodyTextIndent"/>
        <w:numPr>
          <w:ilvl w:val="0"/>
          <w:numId w:val="3"/>
        </w:numPr>
        <w:spacing w:before="120" w:after="120"/>
        <w:rPr>
          <w:rFonts w:ascii="Arial" w:hAnsi="Arial" w:cs="Arial"/>
          <w:b/>
          <w:color w:val="0000FF"/>
          <w:szCs w:val="24"/>
        </w:rPr>
      </w:pPr>
      <w:bookmarkStart w:id="0" w:name="_Hlk131329229"/>
      <w:bookmarkStart w:id="1" w:name="_Hlk131419564"/>
      <w:bookmarkStart w:id="2" w:name="_Hlk131329568"/>
      <w:r>
        <w:rPr>
          <w:rFonts w:ascii="Arial" w:hAnsi="Arial" w:cs="Arial"/>
          <w:b/>
          <w:color w:val="0000FF"/>
          <w:szCs w:val="24"/>
        </w:rPr>
        <w:t xml:space="preserve">To </w:t>
      </w:r>
      <w:bookmarkEnd w:id="0"/>
      <w:r>
        <w:rPr>
          <w:rFonts w:ascii="Arial" w:hAnsi="Arial" w:cs="Arial"/>
          <w:b/>
          <w:color w:val="0000FF"/>
          <w:szCs w:val="24"/>
        </w:rPr>
        <w:t xml:space="preserve">create a single species genus, </w:t>
      </w:r>
      <w:r w:rsidRPr="00864E72">
        <w:rPr>
          <w:rFonts w:ascii="Arial" w:hAnsi="Arial" w:cs="Arial"/>
          <w:b/>
          <w:i/>
          <w:iCs/>
          <w:color w:val="0000FF"/>
          <w:szCs w:val="24"/>
        </w:rPr>
        <w:t>Athenavirus</w:t>
      </w:r>
    </w:p>
    <w:p w14:paraId="6B9D0577" w14:textId="75845DE5" w:rsidR="00D33A63" w:rsidRDefault="00D33A63" w:rsidP="00D33A63">
      <w:pPr>
        <w:pStyle w:val="BodyTextIndent"/>
        <w:numPr>
          <w:ilvl w:val="0"/>
          <w:numId w:val="3"/>
        </w:numPr>
        <w:spacing w:before="120" w:after="120"/>
        <w:rPr>
          <w:rFonts w:ascii="Arial" w:hAnsi="Arial" w:cs="Arial"/>
          <w:b/>
          <w:color w:val="0000FF"/>
          <w:szCs w:val="24"/>
        </w:rPr>
      </w:pPr>
      <w:bookmarkStart w:id="3" w:name="_Hlk131420113"/>
      <w:bookmarkEnd w:id="1"/>
      <w:r>
        <w:rPr>
          <w:rFonts w:ascii="Arial" w:hAnsi="Arial" w:cs="Arial"/>
          <w:b/>
          <w:color w:val="0000FF"/>
          <w:szCs w:val="24"/>
        </w:rPr>
        <w:t xml:space="preserve">To create a single species genus, </w:t>
      </w:r>
      <w:r>
        <w:rPr>
          <w:rFonts w:ascii="Arial" w:hAnsi="Arial" w:cs="Arial"/>
          <w:b/>
          <w:i/>
          <w:iCs/>
          <w:color w:val="0000FF"/>
          <w:szCs w:val="24"/>
        </w:rPr>
        <w:t>Theosmith</w:t>
      </w:r>
      <w:r w:rsidRPr="00864E72">
        <w:rPr>
          <w:rFonts w:ascii="Arial" w:hAnsi="Arial" w:cs="Arial"/>
          <w:b/>
          <w:i/>
          <w:iCs/>
          <w:color w:val="0000FF"/>
          <w:szCs w:val="24"/>
        </w:rPr>
        <w:t>virus</w:t>
      </w:r>
    </w:p>
    <w:bookmarkEnd w:id="2"/>
    <w:bookmarkEnd w:id="3"/>
    <w:p w14:paraId="01E79C79" w14:textId="77777777" w:rsidR="00D33A63" w:rsidRPr="000817F4" w:rsidRDefault="00D33A63" w:rsidP="00D33A63">
      <w:pPr>
        <w:pStyle w:val="BodyTextIndent"/>
        <w:spacing w:before="120" w:after="120"/>
        <w:ind w:left="0" w:firstLine="0"/>
        <w:rPr>
          <w:rFonts w:ascii="Arial" w:hAnsi="Arial" w:cs="Arial"/>
          <w:b/>
          <w:color w:val="0000FF"/>
          <w:szCs w:val="24"/>
        </w:rPr>
      </w:pPr>
    </w:p>
    <w:p w14:paraId="2D6A7359" w14:textId="77777777" w:rsidR="00D33A63" w:rsidRDefault="00D33A63" w:rsidP="00D33A63">
      <w:pPr>
        <w:rPr>
          <w:rFonts w:ascii="Arial" w:hAnsi="Arial" w:cs="Arial"/>
          <w:b/>
          <w:noProof/>
          <w:sz w:val="22"/>
          <w:szCs w:val="22"/>
        </w:rPr>
      </w:pPr>
      <w:r>
        <w:rPr>
          <w:rFonts w:ascii="Arial" w:hAnsi="Arial" w:cs="Arial"/>
          <w:b/>
          <w:noProof/>
          <w:sz w:val="22"/>
          <w:szCs w:val="22"/>
        </w:rPr>
        <w:lastRenderedPageBreak/>
        <w:drawing>
          <wp:inline distT="0" distB="0" distL="0" distR="0" wp14:anchorId="59677E45" wp14:editId="7263F0E9">
            <wp:extent cx="5302250" cy="3625850"/>
            <wp:effectExtent l="0" t="0" r="0" b="0"/>
            <wp:docPr id="3"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umber, fo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02250" cy="3625850"/>
                    </a:xfrm>
                    <a:prstGeom prst="rect">
                      <a:avLst/>
                    </a:prstGeom>
                  </pic:spPr>
                </pic:pic>
              </a:graphicData>
            </a:graphic>
          </wp:inline>
        </w:drawing>
      </w:r>
    </w:p>
    <w:p w14:paraId="67D7E94F" w14:textId="77777777" w:rsidR="00D33A63" w:rsidRDefault="00D33A63" w:rsidP="00D33A63">
      <w:pPr>
        <w:rPr>
          <w:rFonts w:ascii="Arial" w:hAnsi="Arial" w:cs="Arial"/>
          <w:b/>
          <w:sz w:val="22"/>
          <w:szCs w:val="22"/>
        </w:rPr>
      </w:pPr>
    </w:p>
    <w:p w14:paraId="611E7395" w14:textId="77777777" w:rsidR="00D33A63" w:rsidRDefault="00D33A63" w:rsidP="00D33A63">
      <w:pPr>
        <w:rPr>
          <w:rFonts w:ascii="Arial" w:hAnsi="Arial" w:cs="Arial"/>
          <w:b/>
          <w:bCs/>
          <w:color w:val="0000FF"/>
          <w:sz w:val="22"/>
          <w:szCs w:val="22"/>
          <w:lang w:val="en-GB"/>
        </w:rPr>
      </w:pPr>
    </w:p>
    <w:p w14:paraId="68450CF1" w14:textId="77777777" w:rsidR="00D33A63" w:rsidRDefault="00D33A63" w:rsidP="00D33A63">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Baci = Bacillus; Sten = Stenotrophomonas</w:t>
      </w:r>
    </w:p>
    <w:p w14:paraId="3C0E7662" w14:textId="77777777" w:rsidR="00D33A63" w:rsidRDefault="00D33A63" w:rsidP="00D33A63">
      <w:pPr>
        <w:rPr>
          <w:rFonts w:ascii="Arial" w:hAnsi="Arial" w:cs="Arial"/>
          <w:b/>
          <w:sz w:val="22"/>
          <w:szCs w:val="22"/>
        </w:rPr>
      </w:pPr>
    </w:p>
    <w:p w14:paraId="11E0589C" w14:textId="77777777" w:rsidR="00D33A63" w:rsidRDefault="00D33A63" w:rsidP="00D33A63">
      <w:pPr>
        <w:rPr>
          <w:rFonts w:ascii="Arial" w:hAnsi="Arial" w:cs="Arial"/>
          <w:b/>
          <w:sz w:val="22"/>
          <w:szCs w:val="22"/>
        </w:rPr>
      </w:pPr>
      <w:r>
        <w:rPr>
          <w:rFonts w:ascii="Arial" w:hAnsi="Arial" w:cs="Arial"/>
          <w:b/>
          <w:noProof/>
          <w:sz w:val="22"/>
          <w:szCs w:val="22"/>
        </w:rPr>
        <w:drawing>
          <wp:inline distT="0" distB="0" distL="0" distR="0" wp14:anchorId="7F1DFE4C" wp14:editId="3CB199ED">
            <wp:extent cx="5731510" cy="1217295"/>
            <wp:effectExtent l="0" t="0" r="2540" b="1905"/>
            <wp:docPr id="12" name="Picture 1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font,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1217295"/>
                    </a:xfrm>
                    <a:prstGeom prst="rect">
                      <a:avLst/>
                    </a:prstGeom>
                  </pic:spPr>
                </pic:pic>
              </a:graphicData>
            </a:graphic>
          </wp:inline>
        </w:drawing>
      </w:r>
    </w:p>
    <w:p w14:paraId="66B40554" w14:textId="77777777" w:rsidR="00D33A63" w:rsidRDefault="00D33A63" w:rsidP="00D33A63">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2336" behindDoc="0" locked="0" layoutInCell="1" allowOverlap="1" wp14:anchorId="046AFDBB" wp14:editId="1794A03D">
                <wp:simplePos x="0" y="0"/>
                <wp:positionH relativeFrom="column">
                  <wp:posOffset>4984750</wp:posOffset>
                </wp:positionH>
                <wp:positionV relativeFrom="paragraph">
                  <wp:posOffset>427990</wp:posOffset>
                </wp:positionV>
                <wp:extent cx="266700" cy="425450"/>
                <wp:effectExtent l="34925" t="22225" r="15875" b="34925"/>
                <wp:wrapNone/>
                <wp:docPr id="15" name="Isosceles Triangle 15"/>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620A9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392.5pt;margin-top:33.7pt;width:21pt;height:33.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EFWQIAAN0EAAAOAAAAZHJzL2Uyb0RvYy54bWysVE1rGzEQvRf6H4TuzdrGcRKTdTAJLoWQ&#10;BJyS81gr7Qr01ZHsdfrrO9La+Wh6KKU+iBnNaObN85u9vNpbw3YSo/au5uOTEWfSCd9o19b8++Pq&#10;yzlnMYFrwHgna/4sI79afP502Ye5nPjOm0YioyIuzvtQ8y6lMK+qKDppIZ74IB0FlUcLiVxsqwah&#10;p+rWVJPRaFb1HpuAXsgY6fZmCPJFqa+UFOleqSgTMzUnbKmcWM5NPqvFJcxbhNBpcYAB/4DCgnbU&#10;9KXUDSRgW9QfSlkt0Eev0onwtvJKaSHLDDTNePTbNOsOgiyzEDkxvNAU/19ZcbdbhwckGvoQ55HM&#10;PMVeoWXoia3xjFimXxmO4LJ94e75hTu5T0zQ5WQ2O6M0Jig0nZxOTwu31VAr1wwY01fpLctGzRNq&#10;cK3J48EcdrcxEQZKP6bl6+iNblbamOJgu7k2yHZAf+VqVUANT96lGcd6gj0ZwABJShlIhMuGpubR&#10;tZyBaUmrImHp/e51/LsmGeQNxG4AUyoMSrI6kZyNtjU/H3gbIBqXR5BFkIdRX/nO1sY3zw84cE4s&#10;xiBWmprcQkwPgCRJuqQ1S/d0KONpRH+wOOs8/vzTfc4npVCUs54kTuP/2AJKzsw3Rxq6GE+neSeK&#10;Mz09m5CDbyObtxG3tdeeqB8XdMXM+ckcTYXePtE2LnNXCoET1Hsg+uBcp2H1aJ+FXC5LGu1BgHTr&#10;1kHk4pmnTO/j/gkwHMVCKrvzx3X4oJchN790frlNXukipldeSVnZoR0qGjvse17St37Jev0qLX4B&#10;AAD//wMAUEsDBBQABgAIAAAAIQB8NTAl4AAAAAoBAAAPAAAAZHJzL2Rvd25yZXYueG1sTI9NT8Mw&#10;DIbvSPyHyEhcEEtXNLaWphMgcQFNggISx6wxTUXiVE22dfx6zAlu/nj0+nG1nrwTexxjH0jBfJaB&#10;QGqD6alT8Pb6cLkCEZMmo10gVHDECOv69KTSpQkHesF9kzrBIRRLrcCmNJRSxtai13EWBiTefYbR&#10;68Tt2Ekz6gOHeyfzLLuWXvfEF6we8N5i+9XsvIL+/QL1YvP9dHx8/micbfx013mlzs+m2xsQCaf0&#10;B8OvPqtDzU7bsCMThVOwXOYLRrkoChAMrK4KHmyZzOcFyLqS/1+ofwAAAP//AwBQSwECLQAUAAYA&#10;CAAAACEAtoM4kv4AAADhAQAAEwAAAAAAAAAAAAAAAAAAAAAAW0NvbnRlbnRfVHlwZXNdLnhtbFBL&#10;AQItABQABgAIAAAAIQA4/SH/1gAAAJQBAAALAAAAAAAAAAAAAAAAAC8BAABfcmVscy8ucmVsc1BL&#10;AQItABQABgAIAAAAIQBzH4EFWQIAAN0EAAAOAAAAAAAAAAAAAAAAAC4CAABkcnMvZTJvRG9jLnht&#10;bFBLAQItABQABgAIAAAAIQB8NTAl4AAAAAoBAAAPAAAAAAAAAAAAAAAAALMEAABkcnMvZG93bnJl&#10;di54bWxQSwUGAAAAAAQABADzAAAAwAUAAAAA&#10;" fillcolor="red" strokecolor="red" strokeweight="1pt"/>
            </w:pict>
          </mc:Fallback>
        </mc:AlternateContent>
      </w: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3BD40B91" wp14:editId="50CC977C">
                <wp:simplePos x="0" y="0"/>
                <wp:positionH relativeFrom="column">
                  <wp:posOffset>4984750</wp:posOffset>
                </wp:positionH>
                <wp:positionV relativeFrom="paragraph">
                  <wp:posOffset>21590</wp:posOffset>
                </wp:positionV>
                <wp:extent cx="266700" cy="425450"/>
                <wp:effectExtent l="34925" t="22225" r="15875" b="34925"/>
                <wp:wrapNone/>
                <wp:docPr id="14" name="Isosceles Triangle 14"/>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2430491" id="Isosceles Triangle 14" o:spid="_x0000_s1026" type="#_x0000_t5" style="position:absolute;margin-left:392.5pt;margin-top:1.7pt;width:21pt;height:33.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hpWwIAAN0EAAAOAAAAZHJzL2Uyb0RvYy54bWysVE1v2zAMvQ/YfxB0X51kadoFcYqgRYcB&#10;RVugHXpmZMkWoK9RSpzu14+SkzZddxiG+SCQIk3yPT96cbGzhm0lRu1dzccnI86kE77Rrq3598fr&#10;T+ecxQSuAeOdrPmzjPxi+fHDog9zOfGdN41ERkVcnPeh5l1KYV5VUXTSQjzxQToKKo8WErnYVg1C&#10;T9WtqSaj0azqPTYBvZAx0u3VEOTLUl8pKdKdUlEmZmpOs6VyYjnX+ayWC5i3CKHTYj8G/MMUFrSj&#10;pi+lriAB26B+V8pqgT56lU6Et5VXSgtZMBCa8eg3NA8dBFmwEDkxvNAU/19Zcbt9CPdINPQhziOZ&#10;GcVOoWXoia3xjFimp4CjcdmucPf8wp3cJSbocjKbnVEaExSaTk6np4XbaqiVawaM6av0lmWj5gk1&#10;uNZkeDCH7U1MNAOlH9LydfRGN9famOJgu740yLZAn/Js9Hm0OnR4k2Yc62nsyTAMkKSUgURz2dDU&#10;PLqWMzAtaVUkLL3fvB3/rkke8gpiNwxTKgxKsjqRnI22NT8feBtQGZchyCLIPdRXvrO19s3zPQ6c&#10;E4sxiGtNTW4gpntAkiRd0pqlOzqU8QTR7y3OOo8//3Sf80kpFOWsJ4kT/B8bQMmZ+eZIQ1/G02ne&#10;ieJMT88m5OBxZH0ccRt76Yn6cZmumDk/mYOp0Nsn2sZV7kohcIJ6D0Tvncs0rB7ts5CrVUmjPQiQ&#10;btxDELl45inT+7h7AgwHsZDKbv1hHd7pZcjNbzq/2iSvdBHTK6+krOzQDhWN7fc9L+mxX7Je/0rL&#10;XwAAAP//AwBQSwMEFAAGAAgAAAAhAGsUZ73gAAAACQEAAA8AAABkcnMvZG93bnJldi54bWxMj8FO&#10;g0AQhu8mvsNmTLzZhRqkIEvTGE1sD21svXjbsiMQ2VnCbgHf3vGkx5n/yz/fFOvZdmLEwbeOFMSL&#10;CARS5UxLtYL308vdCoQPmozuHKGCb/SwLq+vCp0bN9EbjsdQCy4hn2sFTQh9LqWvGrTaL1yPxNmn&#10;G6wOPA61NIOeuNx2chlFD9LqlvhCo3t8arD6Ol6sAj/Nh3j7+rw/+HSTxh/bXXsad0rd3sybRxAB&#10;5/AHw68+q0PJTmd3IeNFpyBNlwmjHCQZCAZW9xkvzgqSNANZFvL/B+UPAAAA//8DAFBLAQItABQA&#10;BgAIAAAAIQC2gziS/gAAAOEBAAATAAAAAAAAAAAAAAAAAAAAAABbQ29udGVudF9UeXBlc10ueG1s&#10;UEsBAi0AFAAGAAgAAAAhADj9If/WAAAAlAEAAAsAAAAAAAAAAAAAAAAALwEAAF9yZWxzLy5yZWxz&#10;UEsBAi0AFAAGAAgAAAAhAPuiqGlbAgAA3QQAAA4AAAAAAAAAAAAAAAAALgIAAGRycy9lMm9Eb2Mu&#10;eG1sUEsBAi0AFAAGAAgAAAAhAGsUZ73gAAAACQEAAA8AAAAAAAAAAAAAAAAAtQQAAGRycy9kb3du&#10;cmV2LnhtbFBLBQYAAAAABAAEAPMAAADCBQAAAAA=&#10;" fillcolor="#7030a0" strokecolor="#7030a0" strokeweight="1pt"/>
            </w:pict>
          </mc:Fallback>
        </mc:AlternateContent>
      </w:r>
      <w:r>
        <w:rPr>
          <w:rFonts w:ascii="Arial" w:hAnsi="Arial" w:cs="Arial"/>
          <w:b/>
          <w:noProof/>
          <w:sz w:val="22"/>
          <w:szCs w:val="22"/>
        </w:rPr>
        <w:drawing>
          <wp:inline distT="0" distB="0" distL="0" distR="0" wp14:anchorId="53DC59C5" wp14:editId="476CBFB8">
            <wp:extent cx="5731510" cy="1460500"/>
            <wp:effectExtent l="0" t="0" r="2540" b="635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1460500"/>
                    </a:xfrm>
                    <a:prstGeom prst="rect">
                      <a:avLst/>
                    </a:prstGeom>
                  </pic:spPr>
                </pic:pic>
              </a:graphicData>
            </a:graphic>
          </wp:inline>
        </w:drawing>
      </w:r>
    </w:p>
    <w:p w14:paraId="233D4B3F" w14:textId="77777777" w:rsidR="00D33A63" w:rsidRDefault="00D33A63" w:rsidP="00D33A63">
      <w:pPr>
        <w:rPr>
          <w:rFonts w:ascii="Arial" w:hAnsi="Arial" w:cs="Arial"/>
          <w:b/>
          <w:color w:val="120AB6"/>
          <w:sz w:val="22"/>
          <w:szCs w:val="22"/>
        </w:rPr>
      </w:pPr>
    </w:p>
    <w:p w14:paraId="017C80AA" w14:textId="77777777" w:rsidR="00D33A63" w:rsidRDefault="00D33A63" w:rsidP="00D33A63">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2060A5E5" w14:textId="77777777" w:rsidR="00D33A63" w:rsidRDefault="00D33A63" w:rsidP="00D33A63">
      <w:pPr>
        <w:rPr>
          <w:rFonts w:ascii="Arial" w:hAnsi="Arial" w:cs="Arial"/>
          <w:sz w:val="22"/>
          <w:szCs w:val="22"/>
          <w:lang w:val="en-GB"/>
        </w:rPr>
      </w:pPr>
    </w:p>
    <w:p w14:paraId="36C8F525" w14:textId="77777777" w:rsidR="00D33A63" w:rsidRDefault="00D33A63" w:rsidP="00D33A63">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3203D7ED" wp14:editId="587F7005">
                <wp:simplePos x="0" y="0"/>
                <wp:positionH relativeFrom="column">
                  <wp:posOffset>3848100</wp:posOffset>
                </wp:positionH>
                <wp:positionV relativeFrom="paragraph">
                  <wp:posOffset>-120650</wp:posOffset>
                </wp:positionV>
                <wp:extent cx="266700" cy="425450"/>
                <wp:effectExtent l="34925" t="22225" r="15875" b="34925"/>
                <wp:wrapNone/>
                <wp:docPr id="5" name="Isosceles Triangle 5"/>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ADF88C5" id="Isosceles Triangle 5" o:spid="_x0000_s1026" type="#_x0000_t5" style="position:absolute;margin-left:303pt;margin-top:-9.5pt;width:21pt;height:33.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CDgwIAAJoFAAAOAAAAZHJzL2Uyb0RvYy54bWysVFFv2yAQfp+0/4B4X51ESbpFdaqoVaZJ&#10;VVstnfpMMMRImGNA4mS/fgfYbrZ2L9X8gIC7+7jv891dXR8bTQ7CeQWmpOOLESXCcKiU2ZX0x9P6&#10;02dKfGCmYhqMKOlJeHq9/PjhqrULMYEadCUcQRDjF60taR2CXRSF57VomL8AKwwaJbiGBTy6XVE5&#10;1iJ6o4vJaDQvWnCVdcCF93h7m410mfClFDw8SOlFILqkmFtIq0vrNq7F8ootdo7ZWvEuDfaOLBqm&#10;DD46QN2ywMjeqVdQjeIOPMhwwaEpQErFReKAbMajv9hsamZF4oLieDvI5P8fLL8/bOyjQxla6xce&#10;t5HFUbqGOEC1xnNUGb9EDtMlx6TdadBOHAPheDmZzy/RjXA0TSez6SxpW2SsiGmdD18FNCRuShqc&#10;YmanIz22YIc7HzAHdO/d4rUHraq10jod3G57ox05MPyV63VKKof84abN+yLx6RhavMiQduGkRQTU&#10;5ruQRFWRaUo5VagYEmKcCxPG2VSzSuQ8Z+dpxpqOEYlnAozIEvkN2B1A75lBeuzMtvOPoSIV+BCc&#10;f9I/EsvBQ0R6GUwYghtlwL3FTCOr7uXs34uUpYkqbaE6PbpcMFgC3vK1wp98x3x4ZA77CS9xRoQH&#10;XKSGtqTQ7Sipwf166z76Y5mjlZIW+7Ok/ueeOUGJ/mawAb6Mp9PY0OkwnV1O8ODOLdtzi9k3N4B1&#10;M07ZpW30D7rfSgfNM46SVXwVTcxwfLukPLj+cBPy3MBhxMVqldywiS0Ld2ZjeQSPqsYCfjo+M2f7&#10;SscWuYe+l18Ve/aNkQZW+wBSpU540bXTGwdAKpxuWMUJc35OXi8jdfkbAAD//wMAUEsDBBQABgAI&#10;AAAAIQBkCSeq3wAAAAkBAAAPAAAAZHJzL2Rvd25yZXYueG1sTI/BSsQwEIbvgu8QRvAiu6kuKVqb&#10;Lip4UQStCh6zzdgUk0lpsrtdn97xpKeZYT7++aZez8GLHU5piKThfFmAQOqiHajX8PZ6v7gEkbIh&#10;a3wk1HDABOvm+Kg2lY17esFdm3vBIZQqo8HlPFZSps5hMGkZRyTefcYpmMzj1Es7mT2HBy8viqKU&#10;wQzEF5wZ8c5h99Vug4bh/QyNevp+PDw8f7TetWG+7YPWpyfzzTWIjHP+g+FXn9WhYadN3JJNwmtQ&#10;VyvFqIZFyZWBsiy42WhYKQWyqeX/D5ofAAAA//8DAFBLAQItABQABgAIAAAAIQC2gziS/gAAAOEB&#10;AAATAAAAAAAAAAAAAAAAAAAAAABbQ29udGVudF9UeXBlc10ueG1sUEsBAi0AFAAGAAgAAAAhADj9&#10;If/WAAAAlAEAAAsAAAAAAAAAAAAAAAAALwEAAF9yZWxzLy5yZWxzUEsBAi0AFAAGAAgAAAAhABJw&#10;4IODAgAAmgUAAA4AAAAAAAAAAAAAAAAALgIAAGRycy9lMm9Eb2MueG1sUEsBAi0AFAAGAAgAAAAh&#10;AGQJJ6rfAAAACQEAAA8AAAAAAAAAAAAAAAAA3QQAAGRycy9kb3ducmV2LnhtbFBLBQYAAAAABAAE&#10;APMAAADpBQAAAAA=&#10;" fillcolor="red" strokecolor="red" strokeweight="1pt"/>
            </w:pict>
          </mc:Fallback>
        </mc:AlternateContent>
      </w: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2BF95040" wp14:editId="16887853">
                <wp:simplePos x="0" y="0"/>
                <wp:positionH relativeFrom="column">
                  <wp:posOffset>4406900</wp:posOffset>
                </wp:positionH>
                <wp:positionV relativeFrom="paragraph">
                  <wp:posOffset>1019175</wp:posOffset>
                </wp:positionV>
                <wp:extent cx="266700" cy="425450"/>
                <wp:effectExtent l="34925" t="22225" r="15875" b="34925"/>
                <wp:wrapNone/>
                <wp:docPr id="11" name="Isosceles Triangle 11"/>
                <wp:cNvGraphicFramePr/>
                <a:graphic xmlns:a="http://schemas.openxmlformats.org/drawingml/2006/main">
                  <a:graphicData uri="http://schemas.microsoft.com/office/word/2010/wordprocessingShape">
                    <wps:wsp>
                      <wps:cNvSpPr/>
                      <wps:spPr>
                        <a:xfrm rot="16200000">
                          <a:off x="0" y="0"/>
                          <a:ext cx="266700" cy="4254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1C223D2" id="Isosceles Triangle 11" o:spid="_x0000_s1026" type="#_x0000_t5" style="position:absolute;margin-left:347pt;margin-top:80.25pt;width:21pt;height:33.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hpWwIAAN0EAAAOAAAAZHJzL2Uyb0RvYy54bWysVE1v2zAMvQ/YfxB0X51kadoFcYqgRYcB&#10;RVugHXpmZMkWoK9RSpzu14+SkzZddxiG+SCQIk3yPT96cbGzhm0lRu1dzccnI86kE77Rrq3598fr&#10;T+ecxQSuAeOdrPmzjPxi+fHDog9zOfGdN41ERkVcnPeh5l1KYV5VUXTSQjzxQToKKo8WErnYVg1C&#10;T9WtqSaj0azqPTYBvZAx0u3VEOTLUl8pKdKdUlEmZmpOs6VyYjnX+ayWC5i3CKHTYj8G/MMUFrSj&#10;pi+lriAB26B+V8pqgT56lU6Et5VXSgtZMBCa8eg3NA8dBFmwEDkxvNAU/19Zcbt9CPdINPQhziOZ&#10;GcVOoWXoia3xjFimp4CjcdmucPf8wp3cJSbocjKbnVEaExSaTk6np4XbaqiVawaM6av0lmWj5gk1&#10;uNZkeDCH7U1MNAOlH9LydfRGN9famOJgu740yLZAn/Js9Hm0OnR4k2Yc62nsyTAMkKSUgURz2dDU&#10;PLqWMzAtaVUkLL3fvB3/rkke8gpiNwxTKgxKsjqRnI22NT8feBtQGZchyCLIPdRXvrO19s3zPQ6c&#10;E4sxiGtNTW4gpntAkiRd0pqlOzqU8QTR7y3OOo8//3Sf80kpFOWsJ4kT/B8bQMmZ+eZIQ1/G02ne&#10;ieJMT88m5OBxZH0ccRt76Yn6cZmumDk/mYOp0Nsn2sZV7kohcIJ6D0Tvncs0rB7ts5CrVUmjPQiQ&#10;btxDELl45inT+7h7AgwHsZDKbv1hHd7pZcjNbzq/2iSvdBHTK6+krOzQDhWN7fc9L+mxX7Je/0rL&#10;XwAAAP//AwBQSwMEFAAGAAgAAAAhALmLEPThAAAACwEAAA8AAABkcnMvZG93bnJldi54bWxMj8FO&#10;wzAQRO9I/IO1SNyo40KbKI1TVQgk2kMrWi7c3GSbRMTrKHaT8PcsJzjuzNPsTLaebCsG7H3jSIOa&#10;RSCQClc2VGn4OL0+JCB8MFSa1hFq+EYP6/z2JjNp6UZ6x+EYKsEh5FOjoQ6hS6X0RY3W+JnrkNi7&#10;uN6awGdfybI3I4fbVs6jaCmtaYg/1KbD5xqLr+PVavDjdFDbt5f9wcebWH1ud81p2Gl9fzdtViAC&#10;TuEPht/6XB1y7nR2Vyq9aDUsE7VglI34kUcxET8lrJw1zNUiApln8v+G/AcAAP//AwBQSwECLQAU&#10;AAYACAAAACEAtoM4kv4AAADhAQAAEwAAAAAAAAAAAAAAAAAAAAAAW0NvbnRlbnRfVHlwZXNdLnht&#10;bFBLAQItABQABgAIAAAAIQA4/SH/1gAAAJQBAAALAAAAAAAAAAAAAAAAAC8BAABfcmVscy8ucmVs&#10;c1BLAQItABQABgAIAAAAIQD7oqhpWwIAAN0EAAAOAAAAAAAAAAAAAAAAAC4CAABkcnMvZTJvRG9j&#10;LnhtbFBLAQItABQABgAIAAAAIQC5ixD04QAAAAsBAAAPAAAAAAAAAAAAAAAAALUEAABkcnMvZG93&#10;bnJldi54bWxQSwUGAAAAAAQABADzAAAAwwUAAAAA&#10;" fillcolor="#7030a0" strokecolor="#7030a0" strokeweight="1pt"/>
            </w:pict>
          </mc:Fallback>
        </mc:AlternateContent>
      </w:r>
      <w:r>
        <w:rPr>
          <w:rFonts w:ascii="Arial" w:hAnsi="Arial" w:cs="Arial"/>
          <w:b/>
          <w:noProof/>
          <w:sz w:val="22"/>
          <w:szCs w:val="22"/>
        </w:rPr>
        <w:drawing>
          <wp:inline distT="0" distB="0" distL="0" distR="0" wp14:anchorId="0C7CD029" wp14:editId="2B4A7DBA">
            <wp:extent cx="5731510" cy="3249930"/>
            <wp:effectExtent l="0" t="0" r="0" b="7620"/>
            <wp:docPr id="2" name="Picture 2" descr="A picture containing darknes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ness, screenshot, blac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249930"/>
                    </a:xfrm>
                    <a:prstGeom prst="rect">
                      <a:avLst/>
                    </a:prstGeom>
                  </pic:spPr>
                </pic:pic>
              </a:graphicData>
            </a:graphic>
          </wp:inline>
        </w:drawing>
      </w:r>
    </w:p>
    <w:p w14:paraId="56715F33" w14:textId="77777777" w:rsidR="00D33A63" w:rsidRDefault="00D33A63" w:rsidP="00D33A63">
      <w:pPr>
        <w:rPr>
          <w:rFonts w:ascii="Arial" w:hAnsi="Arial" w:cs="Arial"/>
          <w:b/>
          <w:sz w:val="22"/>
          <w:szCs w:val="22"/>
        </w:rPr>
      </w:pPr>
    </w:p>
    <w:p w14:paraId="565E0616" w14:textId="77777777" w:rsidR="00D33A63" w:rsidRDefault="00D33A63" w:rsidP="00D33A63">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701C5CAC" w14:textId="77777777" w:rsidR="00D33A63" w:rsidRDefault="00D33A63" w:rsidP="00D33A63">
      <w:pPr>
        <w:rPr>
          <w:rFonts w:ascii="Arial" w:hAnsi="Arial" w:cs="Arial"/>
          <w:sz w:val="22"/>
          <w:szCs w:val="22"/>
          <w:lang w:val="en-GB"/>
        </w:rPr>
      </w:pPr>
    </w:p>
    <w:p w14:paraId="0B1C14CB" w14:textId="77777777" w:rsidR="00D33A63" w:rsidRDefault="00D33A63" w:rsidP="00D33A63">
      <w:pPr>
        <w:rPr>
          <w:rFonts w:ascii="Arial" w:hAnsi="Arial" w:cs="Arial"/>
          <w:sz w:val="22"/>
          <w:szCs w:val="22"/>
          <w:lang w:val="en-GB"/>
        </w:rPr>
      </w:pPr>
    </w:p>
    <w:p w14:paraId="4F566F36" w14:textId="77777777" w:rsidR="00D33A63" w:rsidRDefault="00D33A63" w:rsidP="00D33A63">
      <w:pPr>
        <w:rPr>
          <w:rFonts w:ascii="Arial" w:hAnsi="Arial" w:cs="Arial"/>
          <w:b/>
          <w:sz w:val="22"/>
          <w:szCs w:val="22"/>
        </w:rPr>
      </w:pPr>
      <w:r>
        <w:rPr>
          <w:rFonts w:ascii="Arial" w:hAnsi="Arial" w:cs="Arial"/>
          <w:b/>
          <w:sz w:val="22"/>
          <w:szCs w:val="22"/>
        </w:rPr>
        <w:t xml:space="preserve">Taxonomic Proposals: </w:t>
      </w:r>
    </w:p>
    <w:p w14:paraId="41F53EB0" w14:textId="77777777" w:rsidR="00D33A63" w:rsidRDefault="00D33A63" w:rsidP="00D33A63">
      <w:pPr>
        <w:rPr>
          <w:rFonts w:ascii="Arial" w:eastAsia="Times" w:hAnsi="Arial" w:cs="Arial"/>
          <w:b/>
          <w:color w:val="0000FF"/>
          <w:lang w:eastAsia="en-GB"/>
        </w:rPr>
      </w:pPr>
    </w:p>
    <w:p w14:paraId="7872B821" w14:textId="77777777" w:rsidR="00D33A63" w:rsidRPr="00BA55E5" w:rsidRDefault="00D33A63" w:rsidP="00D33A63">
      <w:pPr>
        <w:pStyle w:val="ListParagraph"/>
        <w:numPr>
          <w:ilvl w:val="0"/>
          <w:numId w:val="4"/>
        </w:numPr>
        <w:rPr>
          <w:rFonts w:ascii="Arial" w:eastAsia="Times" w:hAnsi="Arial" w:cs="Arial"/>
          <w:b/>
          <w:color w:val="0000FF"/>
          <w:lang w:eastAsia="en-GB"/>
        </w:rPr>
      </w:pPr>
      <w:r w:rsidRPr="00BA55E5">
        <w:rPr>
          <w:rFonts w:ascii="Arial" w:eastAsia="Times" w:hAnsi="Arial" w:cs="Arial"/>
          <w:b/>
          <w:color w:val="0000FF"/>
          <w:lang w:eastAsia="en-GB"/>
        </w:rPr>
        <w:t xml:space="preserve">To create a single species genus, </w:t>
      </w:r>
      <w:r w:rsidRPr="00F55371">
        <w:rPr>
          <w:rFonts w:ascii="Arial" w:eastAsia="Times" w:hAnsi="Arial" w:cs="Arial"/>
          <w:b/>
          <w:i/>
          <w:iCs/>
          <w:color w:val="0000FF"/>
          <w:lang w:eastAsia="en-GB"/>
        </w:rPr>
        <w:t>Athenavirus</w:t>
      </w:r>
    </w:p>
    <w:p w14:paraId="640ED427" w14:textId="77777777" w:rsidR="00D33A63" w:rsidRDefault="00D33A63" w:rsidP="00D33A63">
      <w:pPr>
        <w:rPr>
          <w:rFonts w:ascii="Arial" w:hAnsi="Arial" w:cs="Arial"/>
          <w:sz w:val="22"/>
          <w:szCs w:val="22"/>
          <w:lang w:val="en-GB"/>
        </w:rPr>
      </w:pPr>
    </w:p>
    <w:p w14:paraId="27EDDA46" w14:textId="77777777" w:rsidR="00D33A63" w:rsidRPr="00FB5890" w:rsidRDefault="00D33A63" w:rsidP="00D33A63">
      <w:pPr>
        <w:rPr>
          <w:rFonts w:ascii="Arial" w:hAnsi="Arial" w:cs="Arial"/>
          <w:sz w:val="22"/>
          <w:szCs w:val="22"/>
          <w:lang w:val="en-GB"/>
        </w:rPr>
      </w:pPr>
      <w:bookmarkStart w:id="4" w:name="_Hlk131329419"/>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The name of this taxon derives directly from the name of the first isolate of its type, </w:t>
      </w:r>
      <w:r w:rsidRPr="00FB5890">
        <w:rPr>
          <w:rFonts w:ascii="Arial" w:hAnsi="Arial" w:cs="Arial"/>
          <w:sz w:val="22"/>
          <w:szCs w:val="22"/>
          <w:lang w:val="en-GB"/>
        </w:rPr>
        <w:t>Bacillus phage vB_BanS_Athena</w:t>
      </w:r>
    </w:p>
    <w:p w14:paraId="6ADB7DCD" w14:textId="77777777" w:rsidR="00D33A63" w:rsidRDefault="00D33A63" w:rsidP="00D33A63">
      <w:pPr>
        <w:rPr>
          <w:rFonts w:ascii="Arial" w:hAnsi="Arial" w:cs="Arial"/>
          <w:b/>
          <w:bCs/>
          <w:color w:val="0000FF"/>
          <w:sz w:val="22"/>
          <w:szCs w:val="22"/>
          <w:lang w:val="en-GB"/>
        </w:rPr>
      </w:pPr>
    </w:p>
    <w:p w14:paraId="01762187" w14:textId="77777777" w:rsidR="00D33A63" w:rsidRDefault="00D33A63" w:rsidP="00D33A6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Temperate siphop</w:t>
      </w:r>
      <w:r w:rsidRPr="00BA55E5">
        <w:rPr>
          <w:rFonts w:ascii="Arial" w:hAnsi="Arial" w:cs="Arial"/>
          <w:sz w:val="22"/>
          <w:szCs w:val="22"/>
          <w:lang w:val="en-GB"/>
        </w:rPr>
        <w:t>hage vB_BanS_Athena</w:t>
      </w:r>
      <w:r>
        <w:rPr>
          <w:rFonts w:ascii="Arial" w:hAnsi="Arial" w:cs="Arial"/>
          <w:sz w:val="22"/>
          <w:szCs w:val="22"/>
          <w:lang w:val="en-GB"/>
        </w:rPr>
        <w:t xml:space="preserve"> was isolated from sewage against Bacillus anthracis. </w:t>
      </w:r>
    </w:p>
    <w:p w14:paraId="2BF0FBDB" w14:textId="77777777" w:rsidR="00D33A63" w:rsidRDefault="00D33A63" w:rsidP="00D33A63">
      <w:pPr>
        <w:rPr>
          <w:rFonts w:ascii="Arial" w:hAnsi="Arial" w:cs="Arial"/>
          <w:sz w:val="22"/>
          <w:szCs w:val="22"/>
          <w:lang w:val="en-GB"/>
        </w:rPr>
      </w:pPr>
    </w:p>
    <w:p w14:paraId="56FAC2CC" w14:textId="77777777" w:rsidR="00D33A63" w:rsidRPr="001970D7" w:rsidRDefault="00D33A63" w:rsidP="00D33A6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D0FE0F7" w14:textId="77777777" w:rsidR="00D33A63" w:rsidRPr="007F6A64" w:rsidRDefault="00D33A63" w:rsidP="00D33A63">
      <w:pPr>
        <w:rPr>
          <w:rFonts w:ascii="Arial" w:hAnsi="Arial" w:cs="Arial"/>
          <w:sz w:val="22"/>
          <w:szCs w:val="22"/>
          <w:lang w:val="en-GB"/>
        </w:rPr>
      </w:pPr>
    </w:p>
    <w:tbl>
      <w:tblPr>
        <w:tblStyle w:val="TableGrid"/>
        <w:tblW w:w="8499" w:type="dxa"/>
        <w:tblLook w:val="04A0" w:firstRow="1" w:lastRow="0" w:firstColumn="1" w:lastColumn="0" w:noHBand="0" w:noVBand="1"/>
      </w:tblPr>
      <w:tblGrid>
        <w:gridCol w:w="2295"/>
        <w:gridCol w:w="1503"/>
        <w:gridCol w:w="767"/>
        <w:gridCol w:w="694"/>
        <w:gridCol w:w="850"/>
        <w:gridCol w:w="1084"/>
        <w:gridCol w:w="1306"/>
      </w:tblGrid>
      <w:tr w:rsidR="00D33A63" w:rsidRPr="007F6A64" w14:paraId="551A0F76" w14:textId="77777777" w:rsidTr="007D4A0E">
        <w:tc>
          <w:tcPr>
            <w:tcW w:w="2295" w:type="dxa"/>
            <w:tcBorders>
              <w:top w:val="single" w:sz="4" w:space="0" w:color="auto"/>
              <w:left w:val="single" w:sz="4" w:space="0" w:color="auto"/>
              <w:bottom w:val="single" w:sz="4" w:space="0" w:color="auto"/>
              <w:right w:val="single" w:sz="4" w:space="0" w:color="auto"/>
            </w:tcBorders>
            <w:hideMark/>
          </w:tcPr>
          <w:p w14:paraId="15364597"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E186E05"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INSDC </w:t>
            </w:r>
          </w:p>
        </w:tc>
        <w:tc>
          <w:tcPr>
            <w:tcW w:w="767" w:type="dxa"/>
            <w:tcBorders>
              <w:top w:val="single" w:sz="4" w:space="0" w:color="auto"/>
              <w:left w:val="single" w:sz="4" w:space="0" w:color="auto"/>
              <w:bottom w:val="single" w:sz="4" w:space="0" w:color="auto"/>
              <w:right w:val="single" w:sz="4" w:space="0" w:color="auto"/>
            </w:tcBorders>
            <w:hideMark/>
          </w:tcPr>
          <w:p w14:paraId="6A41B08C"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751ED8ED"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3B74F5C8"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1105D2E6"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77881D8"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Overall % homologous proteins (**)</w:t>
            </w:r>
          </w:p>
        </w:tc>
      </w:tr>
      <w:tr w:rsidR="00D33A63" w:rsidRPr="007F6A64" w14:paraId="0295CEE2" w14:textId="77777777" w:rsidTr="007D4A0E">
        <w:tc>
          <w:tcPr>
            <w:tcW w:w="2295" w:type="dxa"/>
            <w:tcBorders>
              <w:top w:val="single" w:sz="4" w:space="0" w:color="auto"/>
              <w:left w:val="single" w:sz="4" w:space="0" w:color="auto"/>
              <w:bottom w:val="single" w:sz="4" w:space="0" w:color="auto"/>
              <w:right w:val="single" w:sz="4" w:space="0" w:color="auto"/>
            </w:tcBorders>
            <w:vAlign w:val="center"/>
          </w:tcPr>
          <w:p w14:paraId="63D01375" w14:textId="77777777" w:rsidR="00D33A63" w:rsidRPr="00F713B0" w:rsidRDefault="00D33A63" w:rsidP="007D4A0E">
            <w:pPr>
              <w:rPr>
                <w:rFonts w:ascii="Arial" w:hAnsi="Arial" w:cs="Arial"/>
                <w:sz w:val="22"/>
                <w:szCs w:val="22"/>
                <w:lang w:val="en-GB"/>
              </w:rPr>
            </w:pPr>
            <w:bookmarkStart w:id="5" w:name="_Hlk131494182"/>
            <w:r w:rsidRPr="00BA55E5">
              <w:rPr>
                <w:rFonts w:ascii="Arial" w:hAnsi="Arial" w:cs="Arial"/>
                <w:sz w:val="22"/>
                <w:szCs w:val="22"/>
                <w:lang w:val="en-GB"/>
              </w:rPr>
              <w:t>Bacillus phage vB_BanS_Athena</w:t>
            </w:r>
            <w:bookmarkEnd w:id="5"/>
          </w:p>
        </w:tc>
        <w:tc>
          <w:tcPr>
            <w:tcW w:w="1503" w:type="dxa"/>
            <w:vAlign w:val="center"/>
          </w:tcPr>
          <w:p w14:paraId="4087576E" w14:textId="77777777" w:rsidR="00D33A63" w:rsidRPr="00F713B0" w:rsidRDefault="005231CF" w:rsidP="007D4A0E">
            <w:pPr>
              <w:rPr>
                <w:rFonts w:ascii="Arial" w:hAnsi="Arial" w:cs="Arial"/>
                <w:sz w:val="22"/>
                <w:szCs w:val="22"/>
              </w:rPr>
            </w:pPr>
            <w:hyperlink r:id="rId13" w:tgtFrame="_blank" w:history="1">
              <w:r w:rsidR="00D33A63">
                <w:rPr>
                  <w:rStyle w:val="Hyperlink"/>
                </w:rPr>
                <w:t>OK500002.1</w:t>
              </w:r>
            </w:hyperlink>
          </w:p>
        </w:tc>
        <w:tc>
          <w:tcPr>
            <w:tcW w:w="767" w:type="dxa"/>
            <w:vAlign w:val="center"/>
          </w:tcPr>
          <w:p w14:paraId="2331EE54" w14:textId="77777777" w:rsidR="00D33A63" w:rsidRPr="00F713B0" w:rsidRDefault="00D33A63" w:rsidP="007D4A0E">
            <w:pPr>
              <w:rPr>
                <w:rFonts w:ascii="Arial" w:hAnsi="Arial" w:cs="Arial"/>
                <w:sz w:val="22"/>
                <w:szCs w:val="22"/>
                <w:lang w:val="en-GB"/>
              </w:rPr>
            </w:pPr>
            <w:r>
              <w:t>37.37</w:t>
            </w:r>
          </w:p>
        </w:tc>
        <w:tc>
          <w:tcPr>
            <w:tcW w:w="694" w:type="dxa"/>
            <w:vAlign w:val="center"/>
          </w:tcPr>
          <w:p w14:paraId="4D90DE69" w14:textId="77777777" w:rsidR="00D33A63" w:rsidRPr="00F713B0" w:rsidRDefault="00D33A63" w:rsidP="007D4A0E">
            <w:pPr>
              <w:rPr>
                <w:rFonts w:ascii="Arial" w:hAnsi="Arial" w:cs="Arial"/>
                <w:sz w:val="22"/>
                <w:szCs w:val="22"/>
                <w:lang w:val="en-GB"/>
              </w:rPr>
            </w:pPr>
            <w:r>
              <w:t>35.3</w:t>
            </w:r>
          </w:p>
        </w:tc>
        <w:tc>
          <w:tcPr>
            <w:tcW w:w="850" w:type="dxa"/>
            <w:vAlign w:val="center"/>
          </w:tcPr>
          <w:p w14:paraId="49B15070" w14:textId="77777777" w:rsidR="00D33A63" w:rsidRPr="00F713B0" w:rsidRDefault="005231CF" w:rsidP="007D4A0E">
            <w:pPr>
              <w:rPr>
                <w:rFonts w:ascii="Arial" w:hAnsi="Arial" w:cs="Arial"/>
                <w:sz w:val="22"/>
                <w:szCs w:val="22"/>
              </w:rPr>
            </w:pPr>
            <w:hyperlink r:id="rId14" w:anchor="!/proteins/109261/1760526|Bacillus phage vB_BanS_Athena/viral segment/" w:history="1">
              <w:r w:rsidR="00D33A63">
                <w:rPr>
                  <w:rStyle w:val="Hyperlink"/>
                  <w:color w:val="000080"/>
                </w:rPr>
                <w:t>65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267C0EA" w14:textId="77777777" w:rsidR="00D33A63" w:rsidRPr="00F713B0" w:rsidRDefault="00D33A63" w:rsidP="007D4A0E">
            <w:pPr>
              <w:rPr>
                <w:rFonts w:ascii="Arial" w:hAnsi="Arial" w:cs="Arial"/>
                <w:sz w:val="22"/>
                <w:szCs w:val="22"/>
              </w:rPr>
            </w:pPr>
            <w:r w:rsidRPr="00F713B0">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1609DE2" w14:textId="77777777" w:rsidR="00D33A63" w:rsidRPr="00E916FB" w:rsidRDefault="00D33A63" w:rsidP="007D4A0E">
            <w:pPr>
              <w:rPr>
                <w:rFonts w:ascii="Arial" w:hAnsi="Arial" w:cs="Arial"/>
                <w:sz w:val="20"/>
                <w:szCs w:val="20"/>
              </w:rPr>
            </w:pPr>
            <w:r w:rsidRPr="00E916FB">
              <w:rPr>
                <w:rFonts w:ascii="Arial" w:hAnsi="Arial" w:cs="Arial"/>
                <w:sz w:val="20"/>
                <w:szCs w:val="20"/>
              </w:rPr>
              <w:t>100</w:t>
            </w:r>
          </w:p>
        </w:tc>
      </w:tr>
    </w:tbl>
    <w:p w14:paraId="482E572B" w14:textId="77777777" w:rsidR="00D33A63" w:rsidRDefault="00D33A63" w:rsidP="00D33A63">
      <w:pPr>
        <w:rPr>
          <w:rFonts w:ascii="Arial" w:hAnsi="Arial" w:cs="Arial"/>
          <w:b/>
          <w:sz w:val="22"/>
          <w:szCs w:val="22"/>
        </w:rPr>
      </w:pPr>
    </w:p>
    <w:p w14:paraId="34D2E6C3" w14:textId="059D2EA8" w:rsidR="00D33A63" w:rsidRDefault="00D33A63" w:rsidP="00D33A63">
      <w:pPr>
        <w:rPr>
          <w:rFonts w:ascii="Arial" w:hAnsi="Arial" w:cs="Arial"/>
          <w:bCs/>
          <w:sz w:val="22"/>
          <w:szCs w:val="22"/>
        </w:rPr>
      </w:pPr>
      <w:r w:rsidRPr="00BA55E5">
        <w:rPr>
          <w:rFonts w:ascii="Arial" w:hAnsi="Arial" w:cs="Arial"/>
          <w:b/>
          <w:color w:val="0000FF"/>
          <w:sz w:val="22"/>
          <w:szCs w:val="22"/>
        </w:rPr>
        <w:t>Conclusion:</w:t>
      </w:r>
      <w:r w:rsidRPr="00237AC8">
        <w:rPr>
          <w:rFonts w:ascii="Arial" w:hAnsi="Arial" w:cs="Arial"/>
          <w:b/>
          <w:color w:val="0000FF"/>
          <w:sz w:val="22"/>
          <w:szCs w:val="22"/>
        </w:rPr>
        <w:t xml:space="preserve"> </w:t>
      </w:r>
      <w:r w:rsidRPr="00D33A63">
        <w:rPr>
          <w:rFonts w:ascii="Arial" w:hAnsi="Arial" w:cs="Arial"/>
          <w:bCs/>
          <w:sz w:val="22"/>
          <w:szCs w:val="22"/>
        </w:rPr>
        <w:t>A genus comprised of a single species is proposed</w:t>
      </w:r>
      <w:r w:rsidRPr="00D33A63">
        <w:rPr>
          <w:rFonts w:ascii="Arial" w:hAnsi="Arial" w:cs="Arial"/>
          <w:b/>
          <w:sz w:val="22"/>
          <w:szCs w:val="22"/>
        </w:rPr>
        <w:t xml:space="preserve"> </w:t>
      </w:r>
      <w:r>
        <w:rPr>
          <w:rFonts w:ascii="Arial" w:hAnsi="Arial" w:cs="Arial"/>
          <w:bCs/>
          <w:sz w:val="22"/>
          <w:szCs w:val="22"/>
        </w:rPr>
        <w:t>on the basis of DNA (Fig. 1) and protein (Fig. 2) similarity; and phylogenetic analysis of the TerL proteins (Fig. 3).</w:t>
      </w:r>
    </w:p>
    <w:p w14:paraId="19EBA507" w14:textId="77777777" w:rsidR="00D33A63" w:rsidRDefault="00D33A63" w:rsidP="00D33A63">
      <w:pPr>
        <w:rPr>
          <w:rFonts w:ascii="Arial" w:hAnsi="Arial" w:cs="Arial"/>
          <w:bCs/>
          <w:sz w:val="22"/>
          <w:szCs w:val="22"/>
        </w:rPr>
      </w:pPr>
    </w:p>
    <w:p w14:paraId="0026BD63" w14:textId="5F7B14F1" w:rsidR="00D33A63" w:rsidRPr="001C2237" w:rsidRDefault="00D33A63" w:rsidP="00D33A63">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a single species genus, </w:t>
      </w:r>
      <w:r>
        <w:rPr>
          <w:rFonts w:ascii="Arial" w:hAnsi="Arial" w:cs="Arial"/>
          <w:b/>
          <w:i/>
          <w:iCs/>
          <w:color w:val="0000FF"/>
          <w:szCs w:val="24"/>
        </w:rPr>
        <w:t>Theosmith</w:t>
      </w:r>
      <w:r w:rsidRPr="00864E72">
        <w:rPr>
          <w:rFonts w:ascii="Arial" w:hAnsi="Arial" w:cs="Arial"/>
          <w:b/>
          <w:i/>
          <w:iCs/>
          <w:color w:val="0000FF"/>
          <w:szCs w:val="24"/>
        </w:rPr>
        <w:t>virus</w:t>
      </w:r>
    </w:p>
    <w:p w14:paraId="693C2926" w14:textId="77777777" w:rsidR="00D33A63" w:rsidRDefault="00D33A63" w:rsidP="00D33A63">
      <w:pPr>
        <w:rPr>
          <w:rFonts w:ascii="Arial" w:hAnsi="Arial" w:cs="Arial"/>
          <w:b/>
          <w:bCs/>
          <w:color w:val="0000FF"/>
          <w:sz w:val="22"/>
          <w:szCs w:val="22"/>
          <w:lang w:val="en-GB"/>
        </w:rPr>
      </w:pPr>
    </w:p>
    <w:p w14:paraId="44037AC3" w14:textId="053217C2" w:rsidR="00D33A63" w:rsidRDefault="00D33A63" w:rsidP="00D33A63">
      <w:pPr>
        <w:rPr>
          <w:rFonts w:ascii="Arial" w:hAnsi="Arial" w:cs="Arial"/>
          <w:sz w:val="22"/>
          <w:szCs w:val="22"/>
          <w:lang w:val="en-GB"/>
        </w:rPr>
      </w:pPr>
      <w:bookmarkStart w:id="6" w:name="_Hlk131494398"/>
      <w:r>
        <w:rPr>
          <w:rFonts w:ascii="Arial" w:hAnsi="Arial" w:cs="Arial"/>
          <w:b/>
          <w:bCs/>
          <w:color w:val="0000FF"/>
          <w:sz w:val="22"/>
          <w:szCs w:val="22"/>
          <w:lang w:val="en-GB"/>
        </w:rPr>
        <w:t>Origin of the name of this taxon:</w:t>
      </w:r>
      <w:r>
        <w:rPr>
          <w:rFonts w:ascii="Arial" w:hAnsi="Arial" w:cs="Arial"/>
          <w:sz w:val="22"/>
          <w:szCs w:val="22"/>
          <w:lang w:val="en-GB"/>
        </w:rPr>
        <w:t xml:space="preserve"> </w:t>
      </w:r>
      <w:bookmarkEnd w:id="6"/>
      <w:r w:rsidRPr="00E463D0">
        <w:rPr>
          <w:rFonts w:ascii="Arial" w:hAnsi="Arial" w:cs="Arial"/>
          <w:sz w:val="22"/>
          <w:szCs w:val="22"/>
          <w:lang w:val="en-GB"/>
        </w:rPr>
        <w:t>This taxon was named in honour of American pioneer epidemiologist, bacteriologist, and pathologist, Theobald Smith (b. 1859, Albany, N.Y., d. 1934, New York, N.Y).  Received his M.D. from Albany Medical College in 1883.   From 1886 - 1895 he taught at what is now George Washington University and created thss university's Department of Bacteriology. In 1895</w:t>
      </w:r>
      <w:r>
        <w:rPr>
          <w:rFonts w:ascii="Arial" w:hAnsi="Arial" w:cs="Arial"/>
          <w:sz w:val="22"/>
          <w:szCs w:val="22"/>
          <w:lang w:val="en-GB"/>
        </w:rPr>
        <w:t>,</w:t>
      </w:r>
      <w:r w:rsidRPr="00E463D0">
        <w:rPr>
          <w:rFonts w:ascii="Arial" w:hAnsi="Arial" w:cs="Arial"/>
          <w:sz w:val="22"/>
          <w:szCs w:val="22"/>
          <w:lang w:val="en-GB"/>
        </w:rPr>
        <w:t xml:space="preserve"> Smith took up the position of professor of comparative pathology at Harvard University where he remained until 1915.  At the end of his illustrious career he was Director of the Department of Animal Pathology at the Rockefeller Institute for Medical Research.  We have chosen to honour him because Bacillus phage 0105phi7-2</w:t>
      </w:r>
      <w:r>
        <w:rPr>
          <w:rFonts w:ascii="Arial" w:hAnsi="Arial" w:cs="Arial"/>
          <w:sz w:val="22"/>
          <w:szCs w:val="22"/>
          <w:lang w:val="en-GB"/>
        </w:rPr>
        <w:t xml:space="preserve"> </w:t>
      </w:r>
      <w:r w:rsidRPr="00E463D0">
        <w:rPr>
          <w:rFonts w:ascii="Arial" w:hAnsi="Arial" w:cs="Arial"/>
          <w:sz w:val="22"/>
          <w:szCs w:val="22"/>
          <w:lang w:val="en-GB"/>
        </w:rPr>
        <w:t>was isolated from the King Ranch in Kingsville (Texas), the site of Smith's research on Texas fever.</w:t>
      </w:r>
    </w:p>
    <w:p w14:paraId="5489588A" w14:textId="77777777" w:rsidR="00D33A63" w:rsidRPr="00E463D0" w:rsidRDefault="00D33A63" w:rsidP="00D33A63">
      <w:pPr>
        <w:rPr>
          <w:rFonts w:ascii="Arial" w:hAnsi="Arial" w:cs="Arial"/>
          <w:sz w:val="22"/>
          <w:szCs w:val="22"/>
          <w:lang w:val="en-GB"/>
        </w:rPr>
      </w:pPr>
    </w:p>
    <w:p w14:paraId="604C0D34" w14:textId="77777777" w:rsidR="00D33A63" w:rsidRDefault="00D33A63" w:rsidP="00D33A6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Temperate siphop</w:t>
      </w:r>
      <w:r w:rsidRPr="00BA55E5">
        <w:rPr>
          <w:rFonts w:ascii="Arial" w:hAnsi="Arial" w:cs="Arial"/>
          <w:sz w:val="22"/>
          <w:szCs w:val="22"/>
          <w:lang w:val="en-GB"/>
        </w:rPr>
        <w:t>hage 0105phi7-2</w:t>
      </w:r>
      <w:r>
        <w:rPr>
          <w:rFonts w:ascii="Arial" w:hAnsi="Arial" w:cs="Arial"/>
          <w:sz w:val="22"/>
          <w:szCs w:val="22"/>
          <w:lang w:val="en-GB"/>
        </w:rPr>
        <w:t xml:space="preserve"> was isolated against </w:t>
      </w:r>
      <w:r w:rsidRPr="00BA55E5">
        <w:rPr>
          <w:rFonts w:ascii="Arial" w:hAnsi="Arial" w:cs="Arial"/>
          <w:sz w:val="22"/>
          <w:szCs w:val="22"/>
          <w:lang w:val="en-GB"/>
        </w:rPr>
        <w:t>Bacillus thuringiensis</w:t>
      </w:r>
      <w:r>
        <w:rPr>
          <w:rFonts w:ascii="Arial" w:hAnsi="Arial" w:cs="Arial"/>
          <w:sz w:val="22"/>
          <w:szCs w:val="22"/>
          <w:lang w:val="en-GB"/>
        </w:rPr>
        <w:t xml:space="preserve">. </w:t>
      </w:r>
      <w:r w:rsidRPr="00861CF6">
        <w:rPr>
          <w:rFonts w:ascii="Arial" w:hAnsi="Arial" w:cs="Arial"/>
          <w:sz w:val="22"/>
          <w:szCs w:val="22"/>
          <w:lang w:val="en-GB"/>
        </w:rPr>
        <w:t>Phage 0105phi7-2 is diverse in (1) absence of head-assembly scaffolding via either separate protein or classically-sized, head protein-embedded peptide, (2) producing partially condensed, head-expelled DNA, and (3) having a surface relatively poor in AGE-detected net negative charges, which is possibly correlated with observed low murine blood persistence.</w:t>
      </w:r>
    </w:p>
    <w:p w14:paraId="60A36226" w14:textId="77777777" w:rsidR="00D33A63" w:rsidRDefault="00D33A63" w:rsidP="00D33A63">
      <w:pPr>
        <w:rPr>
          <w:rFonts w:ascii="Arial" w:hAnsi="Arial" w:cs="Arial"/>
          <w:sz w:val="22"/>
          <w:szCs w:val="22"/>
          <w:lang w:val="en-GB"/>
        </w:rPr>
      </w:pPr>
    </w:p>
    <w:p w14:paraId="76F938F9" w14:textId="6535BEF3" w:rsidR="00D33A63" w:rsidRPr="001970D7" w:rsidRDefault="00D33A63" w:rsidP="00D33A63">
      <w:pPr>
        <w:rPr>
          <w:rFonts w:ascii="Arial" w:hAnsi="Arial" w:cs="Arial"/>
          <w:sz w:val="22"/>
          <w:szCs w:val="22"/>
          <w:lang w:val="en-GB"/>
        </w:rPr>
      </w:pPr>
      <w:r w:rsidRPr="007F6A64">
        <w:rPr>
          <w:rFonts w:ascii="Arial" w:hAnsi="Arial" w:cs="Arial"/>
          <w:b/>
          <w:bCs/>
          <w:color w:val="0000FF"/>
          <w:sz w:val="22"/>
          <w:szCs w:val="22"/>
          <w:lang w:val="en-GB"/>
        </w:rPr>
        <w:t>Genome summary:</w:t>
      </w:r>
    </w:p>
    <w:p w14:paraId="520B9B3F" w14:textId="77777777" w:rsidR="00D33A63" w:rsidRPr="007F6A64" w:rsidRDefault="00D33A63" w:rsidP="00D33A63">
      <w:pPr>
        <w:rPr>
          <w:rFonts w:ascii="Arial" w:hAnsi="Arial" w:cs="Arial"/>
          <w:sz w:val="22"/>
          <w:szCs w:val="22"/>
          <w:lang w:val="en-GB"/>
        </w:rPr>
      </w:pPr>
    </w:p>
    <w:tbl>
      <w:tblPr>
        <w:tblStyle w:val="TableGrid"/>
        <w:tblW w:w="8499" w:type="dxa"/>
        <w:tblLook w:val="04A0" w:firstRow="1" w:lastRow="0" w:firstColumn="1" w:lastColumn="0" w:noHBand="0" w:noVBand="1"/>
      </w:tblPr>
      <w:tblGrid>
        <w:gridCol w:w="2295"/>
        <w:gridCol w:w="1503"/>
        <w:gridCol w:w="767"/>
        <w:gridCol w:w="694"/>
        <w:gridCol w:w="850"/>
        <w:gridCol w:w="1084"/>
        <w:gridCol w:w="1306"/>
      </w:tblGrid>
      <w:tr w:rsidR="00D33A63" w:rsidRPr="007F6A64" w14:paraId="5CC12ACA" w14:textId="77777777" w:rsidTr="007D4A0E">
        <w:tc>
          <w:tcPr>
            <w:tcW w:w="2295" w:type="dxa"/>
            <w:tcBorders>
              <w:top w:val="single" w:sz="4" w:space="0" w:color="auto"/>
              <w:left w:val="single" w:sz="4" w:space="0" w:color="auto"/>
              <w:bottom w:val="single" w:sz="4" w:space="0" w:color="auto"/>
              <w:right w:val="single" w:sz="4" w:space="0" w:color="auto"/>
            </w:tcBorders>
            <w:hideMark/>
          </w:tcPr>
          <w:p w14:paraId="224FA438"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45BB422"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INSDC </w:t>
            </w:r>
          </w:p>
        </w:tc>
        <w:tc>
          <w:tcPr>
            <w:tcW w:w="767" w:type="dxa"/>
            <w:tcBorders>
              <w:top w:val="single" w:sz="4" w:space="0" w:color="auto"/>
              <w:left w:val="single" w:sz="4" w:space="0" w:color="auto"/>
              <w:bottom w:val="single" w:sz="4" w:space="0" w:color="auto"/>
              <w:right w:val="single" w:sz="4" w:space="0" w:color="auto"/>
            </w:tcBorders>
            <w:hideMark/>
          </w:tcPr>
          <w:p w14:paraId="2D1A7A9B"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6BDE689E"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4E606D35"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644A752D"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177E20E8" w14:textId="77777777" w:rsidR="00D33A63" w:rsidRPr="00E916FB" w:rsidRDefault="00D33A63" w:rsidP="007D4A0E">
            <w:pPr>
              <w:rPr>
                <w:rFonts w:ascii="Arial" w:hAnsi="Arial" w:cs="Arial"/>
                <w:sz w:val="20"/>
                <w:szCs w:val="20"/>
                <w:lang w:val="en-GB"/>
              </w:rPr>
            </w:pPr>
            <w:r w:rsidRPr="00E916FB">
              <w:rPr>
                <w:rFonts w:ascii="Arial" w:hAnsi="Arial" w:cs="Arial"/>
                <w:sz w:val="20"/>
                <w:szCs w:val="20"/>
                <w:lang w:val="en-GB"/>
              </w:rPr>
              <w:t>Overall % homologous proteins (**)</w:t>
            </w:r>
          </w:p>
        </w:tc>
      </w:tr>
      <w:tr w:rsidR="00D33A63" w:rsidRPr="007F6A64" w14:paraId="6B234964" w14:textId="77777777" w:rsidTr="007D4A0E">
        <w:tc>
          <w:tcPr>
            <w:tcW w:w="2295" w:type="dxa"/>
            <w:tcBorders>
              <w:top w:val="single" w:sz="4" w:space="0" w:color="auto"/>
              <w:left w:val="single" w:sz="4" w:space="0" w:color="auto"/>
              <w:bottom w:val="single" w:sz="4" w:space="0" w:color="auto"/>
              <w:right w:val="single" w:sz="4" w:space="0" w:color="auto"/>
            </w:tcBorders>
            <w:vAlign w:val="center"/>
          </w:tcPr>
          <w:p w14:paraId="79935E4C" w14:textId="77777777" w:rsidR="00D33A63" w:rsidRPr="00F713B0" w:rsidRDefault="00D33A63" w:rsidP="007D4A0E">
            <w:pPr>
              <w:rPr>
                <w:rFonts w:ascii="Arial" w:hAnsi="Arial" w:cs="Arial"/>
                <w:sz w:val="22"/>
                <w:szCs w:val="22"/>
                <w:lang w:val="en-GB"/>
              </w:rPr>
            </w:pPr>
            <w:r w:rsidRPr="00BA55E5">
              <w:rPr>
                <w:rFonts w:ascii="Arial" w:hAnsi="Arial" w:cs="Arial"/>
                <w:sz w:val="22"/>
                <w:szCs w:val="22"/>
                <w:lang w:val="en-GB"/>
              </w:rPr>
              <w:t xml:space="preserve">Bacillus phage </w:t>
            </w:r>
            <w:bookmarkStart w:id="7" w:name="_Hlk131494281"/>
            <w:r w:rsidRPr="00BA55E5">
              <w:rPr>
                <w:rFonts w:ascii="Arial" w:hAnsi="Arial" w:cs="Arial"/>
                <w:sz w:val="22"/>
                <w:szCs w:val="22"/>
                <w:lang w:val="en-GB"/>
              </w:rPr>
              <w:t>0105phi7-2</w:t>
            </w:r>
            <w:bookmarkEnd w:id="7"/>
          </w:p>
        </w:tc>
        <w:tc>
          <w:tcPr>
            <w:tcW w:w="1503" w:type="dxa"/>
            <w:vAlign w:val="center"/>
          </w:tcPr>
          <w:p w14:paraId="25957E6D" w14:textId="77777777" w:rsidR="00D33A63" w:rsidRPr="00F713B0" w:rsidRDefault="00D33A63" w:rsidP="007D4A0E">
            <w:pPr>
              <w:rPr>
                <w:rFonts w:ascii="Arial" w:hAnsi="Arial" w:cs="Arial"/>
                <w:sz w:val="22"/>
                <w:szCs w:val="22"/>
              </w:rPr>
            </w:pPr>
            <w:r w:rsidRPr="007D3D6A">
              <w:rPr>
                <w:rFonts w:ascii="Arial" w:hAnsi="Arial" w:cs="Arial"/>
                <w:sz w:val="22"/>
                <w:szCs w:val="22"/>
              </w:rPr>
              <w:t>OQ317942</w:t>
            </w:r>
            <w:r>
              <w:rPr>
                <w:rFonts w:ascii="Arial" w:hAnsi="Arial" w:cs="Arial"/>
                <w:sz w:val="22"/>
                <w:szCs w:val="22"/>
              </w:rPr>
              <w:t>.1</w:t>
            </w:r>
          </w:p>
        </w:tc>
        <w:tc>
          <w:tcPr>
            <w:tcW w:w="767" w:type="dxa"/>
            <w:vAlign w:val="center"/>
          </w:tcPr>
          <w:p w14:paraId="731FD5F7" w14:textId="77777777" w:rsidR="00D33A63" w:rsidRPr="00F713B0" w:rsidRDefault="00D33A63" w:rsidP="007D4A0E">
            <w:pPr>
              <w:rPr>
                <w:rFonts w:ascii="Arial" w:hAnsi="Arial" w:cs="Arial"/>
                <w:sz w:val="22"/>
                <w:szCs w:val="22"/>
                <w:lang w:val="en-GB"/>
              </w:rPr>
            </w:pPr>
            <w:r>
              <w:rPr>
                <w:rFonts w:ascii="Arial" w:hAnsi="Arial" w:cs="Arial"/>
                <w:sz w:val="22"/>
                <w:szCs w:val="22"/>
                <w:lang w:val="en-GB"/>
              </w:rPr>
              <w:t>52.63</w:t>
            </w:r>
          </w:p>
        </w:tc>
        <w:tc>
          <w:tcPr>
            <w:tcW w:w="694" w:type="dxa"/>
            <w:vAlign w:val="center"/>
          </w:tcPr>
          <w:p w14:paraId="276051AE" w14:textId="77777777" w:rsidR="00D33A63" w:rsidRPr="00F713B0" w:rsidRDefault="00D33A63" w:rsidP="007D4A0E">
            <w:pPr>
              <w:rPr>
                <w:rFonts w:ascii="Arial" w:hAnsi="Arial" w:cs="Arial"/>
                <w:sz w:val="22"/>
                <w:szCs w:val="22"/>
                <w:lang w:val="en-GB"/>
              </w:rPr>
            </w:pPr>
            <w:r>
              <w:rPr>
                <w:rFonts w:ascii="Arial" w:hAnsi="Arial" w:cs="Arial"/>
                <w:sz w:val="22"/>
                <w:szCs w:val="22"/>
                <w:lang w:val="en-GB"/>
              </w:rPr>
              <w:t>36.0</w:t>
            </w:r>
          </w:p>
        </w:tc>
        <w:tc>
          <w:tcPr>
            <w:tcW w:w="850" w:type="dxa"/>
            <w:vAlign w:val="center"/>
          </w:tcPr>
          <w:p w14:paraId="352A37E2" w14:textId="77777777" w:rsidR="00D33A63" w:rsidRPr="00F713B0" w:rsidRDefault="00D33A63" w:rsidP="007D4A0E">
            <w:pPr>
              <w:rPr>
                <w:rFonts w:ascii="Arial" w:hAnsi="Arial" w:cs="Arial"/>
                <w:sz w:val="22"/>
                <w:szCs w:val="22"/>
              </w:rPr>
            </w:pPr>
            <w:r>
              <w:rPr>
                <w:rFonts w:ascii="Arial" w:hAnsi="Arial" w:cs="Arial"/>
                <w:sz w:val="22"/>
                <w:szCs w:val="22"/>
              </w:rPr>
              <w:t>85</w:t>
            </w:r>
          </w:p>
        </w:tc>
        <w:tc>
          <w:tcPr>
            <w:tcW w:w="1084" w:type="dxa"/>
            <w:tcBorders>
              <w:top w:val="single" w:sz="4" w:space="0" w:color="auto"/>
              <w:left w:val="single" w:sz="4" w:space="0" w:color="auto"/>
              <w:bottom w:val="single" w:sz="4" w:space="0" w:color="auto"/>
              <w:right w:val="single" w:sz="4" w:space="0" w:color="auto"/>
            </w:tcBorders>
            <w:vAlign w:val="center"/>
          </w:tcPr>
          <w:p w14:paraId="2FAEB15E" w14:textId="77777777" w:rsidR="00D33A63" w:rsidRPr="00F713B0" w:rsidRDefault="00D33A63" w:rsidP="007D4A0E">
            <w:pPr>
              <w:rPr>
                <w:rFonts w:ascii="Arial" w:hAnsi="Arial" w:cs="Arial"/>
                <w:sz w:val="22"/>
                <w:szCs w:val="22"/>
              </w:rPr>
            </w:pPr>
            <w:r w:rsidRPr="00F713B0">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BD73BF0" w14:textId="77777777" w:rsidR="00D33A63" w:rsidRPr="00E916FB" w:rsidRDefault="00D33A63" w:rsidP="007D4A0E">
            <w:pPr>
              <w:rPr>
                <w:rFonts w:ascii="Arial" w:hAnsi="Arial" w:cs="Arial"/>
                <w:sz w:val="20"/>
                <w:szCs w:val="20"/>
              </w:rPr>
            </w:pPr>
            <w:r w:rsidRPr="00E916FB">
              <w:rPr>
                <w:rFonts w:ascii="Arial" w:hAnsi="Arial" w:cs="Arial"/>
                <w:sz w:val="20"/>
                <w:szCs w:val="20"/>
              </w:rPr>
              <w:t>100</w:t>
            </w:r>
          </w:p>
        </w:tc>
      </w:tr>
    </w:tbl>
    <w:p w14:paraId="43C36E0D" w14:textId="77777777" w:rsidR="00D33A63" w:rsidRDefault="00D33A63" w:rsidP="00D33A63">
      <w:pPr>
        <w:rPr>
          <w:rFonts w:ascii="Arial" w:hAnsi="Arial" w:cs="Arial"/>
          <w:b/>
          <w:sz w:val="22"/>
          <w:szCs w:val="22"/>
        </w:rPr>
      </w:pPr>
    </w:p>
    <w:p w14:paraId="3B61B1C7" w14:textId="321C7122" w:rsidR="00D33A63" w:rsidRDefault="00D33A63" w:rsidP="00D33A63">
      <w:pPr>
        <w:rPr>
          <w:rFonts w:ascii="Arial" w:hAnsi="Arial" w:cs="Arial"/>
          <w:bCs/>
          <w:sz w:val="22"/>
          <w:szCs w:val="22"/>
        </w:rPr>
      </w:pPr>
      <w:r w:rsidRPr="00BA55E5">
        <w:rPr>
          <w:rFonts w:ascii="Arial" w:hAnsi="Arial" w:cs="Arial"/>
          <w:b/>
          <w:color w:val="0000FF"/>
          <w:sz w:val="22"/>
          <w:szCs w:val="22"/>
        </w:rPr>
        <w:t>Conclusion:</w:t>
      </w:r>
      <w:r w:rsidRPr="00237AC8">
        <w:rPr>
          <w:rFonts w:ascii="Arial" w:hAnsi="Arial" w:cs="Arial"/>
          <w:b/>
          <w:color w:val="0000FF"/>
          <w:sz w:val="22"/>
          <w:szCs w:val="22"/>
        </w:rPr>
        <w:t xml:space="preserve"> </w:t>
      </w:r>
      <w:r w:rsidRPr="00D33A63">
        <w:rPr>
          <w:rFonts w:ascii="Arial" w:hAnsi="Arial" w:cs="Arial"/>
          <w:bCs/>
          <w:sz w:val="22"/>
          <w:szCs w:val="22"/>
        </w:rPr>
        <w:t>A genus comprised of a single species is proposed</w:t>
      </w:r>
      <w:r w:rsidRPr="00D33A63">
        <w:rPr>
          <w:rFonts w:ascii="Arial" w:hAnsi="Arial" w:cs="Arial"/>
          <w:b/>
          <w:sz w:val="22"/>
          <w:szCs w:val="22"/>
        </w:rPr>
        <w:t xml:space="preserve"> </w:t>
      </w:r>
      <w:r>
        <w:rPr>
          <w:rFonts w:ascii="Arial" w:hAnsi="Arial" w:cs="Arial"/>
          <w:bCs/>
          <w:sz w:val="22"/>
          <w:szCs w:val="22"/>
        </w:rPr>
        <w:t xml:space="preserve">on the basis of DNA (Fig. 1) and protein (Fig. 2) similarity; and phylogenetic analysis of the TerL proteins (Fig. 3). </w:t>
      </w:r>
    </w:p>
    <w:p w14:paraId="2DEDFCF4" w14:textId="77777777" w:rsidR="00D33A63" w:rsidRDefault="00D33A63" w:rsidP="00D33A63">
      <w:pPr>
        <w:rPr>
          <w:rFonts w:ascii="Arial" w:hAnsi="Arial" w:cs="Arial"/>
          <w:bCs/>
          <w:sz w:val="22"/>
          <w:szCs w:val="22"/>
        </w:rPr>
      </w:pPr>
    </w:p>
    <w:bookmarkEnd w:id="4"/>
    <w:p w14:paraId="1E0DF86E" w14:textId="77777777" w:rsidR="00D33A63" w:rsidRDefault="00D33A63" w:rsidP="00D33A63">
      <w:pPr>
        <w:spacing w:before="120" w:after="120"/>
        <w:rPr>
          <w:rFonts w:ascii="Arial" w:hAnsi="Arial" w:cs="Arial"/>
          <w:b/>
        </w:rPr>
      </w:pPr>
    </w:p>
    <w:p w14:paraId="19005AFF" w14:textId="77777777" w:rsidR="00D33A63" w:rsidRDefault="00D33A63" w:rsidP="00D33A63">
      <w:pPr>
        <w:spacing w:before="120" w:after="120"/>
        <w:rPr>
          <w:rFonts w:ascii="Arial" w:hAnsi="Arial" w:cs="Arial"/>
          <w:b/>
        </w:rPr>
      </w:pPr>
    </w:p>
    <w:p w14:paraId="3DAFA39B" w14:textId="77777777" w:rsidR="00D33A63" w:rsidRDefault="00D33A63" w:rsidP="00D33A63">
      <w:pPr>
        <w:spacing w:before="120" w:after="120"/>
        <w:rPr>
          <w:rFonts w:ascii="Arial" w:hAnsi="Arial" w:cs="Arial"/>
          <w:b/>
        </w:rPr>
      </w:pPr>
      <w:r>
        <w:rPr>
          <w:rFonts w:ascii="Arial" w:hAnsi="Arial" w:cs="Arial"/>
          <w:b/>
        </w:rPr>
        <w:t>References</w:t>
      </w:r>
    </w:p>
    <w:p w14:paraId="16244947" w14:textId="77777777" w:rsidR="00D33A63" w:rsidRPr="00D33A63" w:rsidRDefault="00D33A63" w:rsidP="00D33A63">
      <w:pPr>
        <w:spacing w:before="120" w:after="120"/>
        <w:rPr>
          <w:rFonts w:ascii="Arial" w:hAnsi="Arial" w:cs="Arial"/>
          <w:bCs/>
          <w:sz w:val="22"/>
          <w:szCs w:val="22"/>
        </w:rPr>
      </w:pPr>
      <w:r w:rsidRPr="005A6FDD">
        <w:rPr>
          <w:rFonts w:ascii="Arial" w:hAnsi="Arial" w:cs="Arial"/>
          <w:bCs/>
        </w:rPr>
        <w:t>1.</w:t>
      </w:r>
      <w:r w:rsidRPr="005A6FDD">
        <w:rPr>
          <w:rFonts w:ascii="Arial" w:hAnsi="Arial" w:cs="Arial"/>
          <w:bCs/>
        </w:rPr>
        <w:tab/>
      </w:r>
      <w:r w:rsidRPr="00D33A63">
        <w:rPr>
          <w:rFonts w:ascii="Arial" w:hAnsi="Arial" w:cs="Arial"/>
          <w:bCs/>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91BE5B7"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0E484472"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3.</w:t>
      </w:r>
      <w:r w:rsidRPr="00D33A63">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05768E47"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lastRenderedPageBreak/>
        <w:t>4.</w:t>
      </w:r>
      <w:r w:rsidRPr="00D33A63">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303CEA7F"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5.       Rohwer F, Edwards R. The Phage Proteomic Tree: a genome-based taxonomy for phage. J Bacteriol. 2002 Aug;184(16):4529-35. PubMed PMID: 12142423</w:t>
      </w:r>
      <w:r w:rsidRPr="00D33A63">
        <w:rPr>
          <w:rFonts w:ascii="Arial" w:hAnsi="Arial" w:cs="Arial"/>
          <w:bCs/>
          <w:sz w:val="22"/>
          <w:szCs w:val="22"/>
        </w:rPr>
        <w:tab/>
        <w:t xml:space="preserve"> </w:t>
      </w:r>
    </w:p>
    <w:p w14:paraId="2BFCE686"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6.</w:t>
      </w:r>
      <w:r w:rsidRPr="00D33A63">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20247B19"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32932E72"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8.</w:t>
      </w:r>
      <w:r w:rsidRPr="00D33A63">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5369A660"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9.</w:t>
      </w:r>
      <w:r w:rsidRPr="00D33A63">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17209E59" w14:textId="77777777" w:rsidR="00D33A63" w:rsidRPr="00D33A63" w:rsidRDefault="00D33A63" w:rsidP="00D33A63">
      <w:pPr>
        <w:spacing w:before="120" w:after="120"/>
        <w:rPr>
          <w:rFonts w:ascii="Arial" w:hAnsi="Arial" w:cs="Arial"/>
          <w:bCs/>
          <w:sz w:val="22"/>
          <w:szCs w:val="22"/>
        </w:rPr>
      </w:pPr>
      <w:r w:rsidRPr="00D33A63">
        <w:rPr>
          <w:rFonts w:ascii="Arial" w:hAnsi="Arial" w:cs="Arial"/>
          <w:bCs/>
          <w:sz w:val="22"/>
          <w:szCs w:val="22"/>
        </w:rPr>
        <w:t>10.</w:t>
      </w:r>
      <w:r w:rsidRPr="00D33A63">
        <w:rPr>
          <w:rFonts w:ascii="Arial" w:hAnsi="Arial" w:cs="Arial"/>
          <w:bCs/>
          <w:sz w:val="22"/>
          <w:szCs w:val="22"/>
        </w:rPr>
        <w:tab/>
        <w:t>Turner D, Kropinski AM, Adriaenssens EM. A Roadmap for Genome-Based Phage Taxonomy. Viruses. 2021 Mar 18;13(3):506. doi: 10.3390/v13030506. PMID: 33803862; PMCID: PMC8003253.</w:t>
      </w:r>
    </w:p>
    <w:p w14:paraId="3437A237" w14:textId="403621F4" w:rsidR="00A174CC" w:rsidRPr="00D33A63" w:rsidRDefault="00A174CC" w:rsidP="00D33A63">
      <w:pPr>
        <w:rPr>
          <w:rFonts w:ascii="Arial" w:hAnsi="Arial" w:cs="Arial"/>
          <w:b/>
          <w:sz w:val="22"/>
          <w:szCs w:val="22"/>
        </w:rPr>
      </w:pPr>
    </w:p>
    <w:sectPr w:rsidR="00A174CC" w:rsidRPr="00D33A63">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7755C" w14:textId="77777777" w:rsidR="006E7BA4" w:rsidRDefault="006E7BA4">
      <w:r>
        <w:separator/>
      </w:r>
    </w:p>
  </w:endnote>
  <w:endnote w:type="continuationSeparator" w:id="0">
    <w:p w14:paraId="590A1965" w14:textId="77777777" w:rsidR="006E7BA4" w:rsidRDefault="006E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C1FA" w14:textId="77777777" w:rsidR="006E7BA4" w:rsidRDefault="006E7BA4">
      <w:r>
        <w:separator/>
      </w:r>
    </w:p>
  </w:footnote>
  <w:footnote w:type="continuationSeparator" w:id="0">
    <w:p w14:paraId="74B28701" w14:textId="77777777" w:rsidR="006E7BA4" w:rsidRDefault="006E7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37D6808C"/>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682478E1"/>
    <w:multiLevelType w:val="hybridMultilevel"/>
    <w:tmpl w:val="FF8AFE60"/>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1"/>
  </w:num>
  <w:num w:numId="2" w16cid:durableId="1176191213">
    <w:abstractNumId w:val="3"/>
  </w:num>
  <w:num w:numId="3" w16cid:durableId="1140539896">
    <w:abstractNumId w:val="0"/>
  </w:num>
  <w:num w:numId="4" w16cid:durableId="243105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55BAE"/>
    <w:rsid w:val="00257966"/>
    <w:rsid w:val="002D5209"/>
    <w:rsid w:val="0037243A"/>
    <w:rsid w:val="0043110C"/>
    <w:rsid w:val="00437970"/>
    <w:rsid w:val="004F3196"/>
    <w:rsid w:val="005231CF"/>
    <w:rsid w:val="00543F86"/>
    <w:rsid w:val="005A54C3"/>
    <w:rsid w:val="006E7BA4"/>
    <w:rsid w:val="008815EE"/>
    <w:rsid w:val="00A174CC"/>
    <w:rsid w:val="00A2357C"/>
    <w:rsid w:val="00AD759B"/>
    <w:rsid w:val="00B35CC8"/>
    <w:rsid w:val="00B47589"/>
    <w:rsid w:val="00B960BB"/>
    <w:rsid w:val="00D33A63"/>
    <w:rsid w:val="00DB442D"/>
    <w:rsid w:val="00E034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uiPriority w:val="34"/>
    <w:qFormat/>
    <w:rsid w:val="00D33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OK500002.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cp:revision>
  <dcterms:created xsi:type="dcterms:W3CDTF">2023-06-27T15:28:00Z</dcterms:created>
  <dcterms:modified xsi:type="dcterms:W3CDTF">2023-07-04T03:16:00Z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