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0213E" w14:textId="77777777" w:rsidR="00AA601F" w:rsidRDefault="007B0D83"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7728" behindDoc="0" locked="0" layoutInCell="1" allowOverlap="1" wp14:anchorId="1FA5DF78" wp14:editId="397AB3DE">
            <wp:simplePos x="0" y="0"/>
            <wp:positionH relativeFrom="column">
              <wp:posOffset>-85725</wp:posOffset>
            </wp:positionH>
            <wp:positionV relativeFrom="paragraph">
              <wp:posOffset>151765</wp:posOffset>
            </wp:positionV>
            <wp:extent cx="1238250" cy="7620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58184FAB"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complete </w:t>
      </w:r>
      <w:r w:rsidRPr="00AA601F">
        <w:rPr>
          <w:rFonts w:ascii="Arial" w:hAnsi="Arial" w:cs="Arial"/>
          <w:b/>
          <w:color w:val="0000FF"/>
          <w:sz w:val="22"/>
          <w:szCs w:val="22"/>
        </w:rPr>
        <w:t>Part 1</w:t>
      </w:r>
      <w:r w:rsidRPr="008A612E">
        <w:rPr>
          <w:rFonts w:ascii="Arial" w:hAnsi="Arial" w:cs="Arial"/>
          <w:color w:val="0000FF"/>
          <w:sz w:val="22"/>
          <w:szCs w:val="22"/>
        </w:rPr>
        <w:t xml:space="preserve"> and:</w:t>
      </w:r>
    </w:p>
    <w:p w14:paraId="37B52E9C"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3CC9E832"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28DD919E" w14:textId="77777777"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572830D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4D236F">
        <w:rPr>
          <w:rFonts w:ascii="Arial" w:hAnsi="Arial" w:cs="Arial"/>
          <w:color w:val="0000FF"/>
          <w:sz w:val="22"/>
          <w:szCs w:val="22"/>
        </w:rPr>
        <w:t xml:space="preserve">help notes in file </w:t>
      </w:r>
      <w:r w:rsidR="004D236F" w:rsidRPr="004D236F">
        <w:rPr>
          <w:rFonts w:ascii="Arial" w:hAnsi="Arial" w:cs="Arial"/>
          <w:color w:val="0000FF"/>
          <w:sz w:val="22"/>
          <w:szCs w:val="22"/>
        </w:rPr>
        <w:t>Taxonomic_Proposals_Help_2018</w:t>
      </w:r>
      <w:r w:rsidR="004D236F">
        <w:rPr>
          <w:rFonts w:ascii="Arial" w:hAnsi="Arial" w:cs="Arial"/>
          <w:color w:val="0000FF"/>
          <w:sz w:val="22"/>
          <w:szCs w:val="22"/>
        </w:rPr>
        <w:t>.</w:t>
      </w:r>
    </w:p>
    <w:p w14:paraId="3BE77FA7"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3B18FCB0" w14:textId="77777777"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518"/>
        <w:gridCol w:w="2693"/>
        <w:gridCol w:w="575"/>
        <w:gridCol w:w="3682"/>
      </w:tblGrid>
      <w:tr w:rsidR="006D1B4E" w:rsidRPr="009320C8" w14:paraId="763CEB40" w14:textId="77777777" w:rsidTr="00EF7D67">
        <w:tc>
          <w:tcPr>
            <w:tcW w:w="2518" w:type="dxa"/>
            <w:tcBorders>
              <w:top w:val="double" w:sz="4" w:space="0" w:color="auto"/>
              <w:left w:val="double" w:sz="4" w:space="0" w:color="auto"/>
              <w:right w:val="single" w:sz="4" w:space="0" w:color="auto"/>
            </w:tcBorders>
            <w:vAlign w:val="center"/>
          </w:tcPr>
          <w:p w14:paraId="48A2CFAB"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gridSpan w:val="2"/>
            <w:tcBorders>
              <w:top w:val="double" w:sz="4" w:space="0" w:color="auto"/>
              <w:left w:val="single" w:sz="4" w:space="0" w:color="auto"/>
              <w:bottom w:val="single" w:sz="4" w:space="0" w:color="auto"/>
              <w:right w:val="single" w:sz="4" w:space="0" w:color="auto"/>
            </w:tcBorders>
          </w:tcPr>
          <w:p w14:paraId="2905A3E5" w14:textId="6C8955D2" w:rsidR="006D1B4E" w:rsidRPr="009320C8" w:rsidRDefault="00AA2C52" w:rsidP="00AA2C52">
            <w:pPr>
              <w:pStyle w:val="BodyTextIndent"/>
              <w:ind w:left="0" w:firstLine="0"/>
              <w:rPr>
                <w:rFonts w:ascii="Arial" w:hAnsi="Arial" w:cs="Arial"/>
                <w:b/>
                <w:i/>
                <w:sz w:val="36"/>
                <w:szCs w:val="36"/>
              </w:rPr>
            </w:pPr>
            <w:r w:rsidRPr="00AA2C52">
              <w:rPr>
                <w:rFonts w:ascii="Arial" w:hAnsi="Arial" w:cs="Arial"/>
                <w:b/>
                <w:i/>
                <w:sz w:val="36"/>
                <w:szCs w:val="36"/>
              </w:rPr>
              <w:t>2018.093B</w:t>
            </w:r>
          </w:p>
        </w:tc>
        <w:tc>
          <w:tcPr>
            <w:tcW w:w="3682" w:type="dxa"/>
            <w:tcBorders>
              <w:top w:val="double" w:sz="4" w:space="0" w:color="auto"/>
              <w:left w:val="single" w:sz="4" w:space="0" w:color="auto"/>
              <w:right w:val="double" w:sz="4" w:space="0" w:color="auto"/>
            </w:tcBorders>
            <w:vAlign w:val="center"/>
          </w:tcPr>
          <w:p w14:paraId="586D5AB0" w14:textId="77777777" w:rsidR="006D1B4E" w:rsidRPr="009320C8" w:rsidRDefault="006D1B4E" w:rsidP="00291213">
            <w:pPr>
              <w:pStyle w:val="BodyTextIndent"/>
              <w:ind w:left="0" w:firstLine="0"/>
              <w:rPr>
                <w:rFonts w:ascii="Arial" w:hAnsi="Arial" w:cs="Arial"/>
              </w:rPr>
            </w:pPr>
            <w:r w:rsidRPr="009320C8">
              <w:rPr>
                <w:rFonts w:ascii="Arial" w:hAnsi="Arial" w:cs="Arial"/>
                <w:color w:val="0000FF"/>
                <w:sz w:val="20"/>
              </w:rPr>
              <w:t>(to be completed by ICTV officers)</w:t>
            </w:r>
          </w:p>
        </w:tc>
      </w:tr>
      <w:tr w:rsidR="006D1B4E" w:rsidRPr="009320C8" w14:paraId="6E47B1F5" w14:textId="77777777">
        <w:tc>
          <w:tcPr>
            <w:tcW w:w="9468" w:type="dxa"/>
            <w:gridSpan w:val="4"/>
            <w:tcBorders>
              <w:left w:val="double" w:sz="4" w:space="0" w:color="auto"/>
              <w:right w:val="double" w:sz="4" w:space="0" w:color="auto"/>
            </w:tcBorders>
          </w:tcPr>
          <w:p w14:paraId="1A19E3DF" w14:textId="41C9D905" w:rsidR="00CF0A9B" w:rsidRPr="001705E3"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263E48" w:rsidRPr="00B47513">
              <w:rPr>
                <w:rFonts w:ascii="Arial" w:hAnsi="Arial" w:cs="Arial"/>
                <w:b/>
                <w:sz w:val="20"/>
              </w:rPr>
              <w:t xml:space="preserve">To create one (1) new </w:t>
            </w:r>
            <w:r w:rsidR="00080C3A" w:rsidRPr="00B47513">
              <w:rPr>
                <w:rFonts w:ascii="Arial" w:hAnsi="Arial" w:cs="Arial"/>
                <w:b/>
                <w:sz w:val="20"/>
              </w:rPr>
              <w:t xml:space="preserve">genus, </w:t>
            </w:r>
            <w:r w:rsidR="00080C3A" w:rsidRPr="00B47513">
              <w:rPr>
                <w:rFonts w:ascii="Arial" w:hAnsi="Arial" w:cs="Arial"/>
                <w:b/>
                <w:i/>
                <w:sz w:val="20"/>
              </w:rPr>
              <w:t>Gammatectivirus</w:t>
            </w:r>
            <w:r w:rsidR="00080C3A" w:rsidRPr="00B47513">
              <w:rPr>
                <w:rFonts w:ascii="Arial" w:hAnsi="Arial" w:cs="Arial"/>
                <w:b/>
                <w:sz w:val="20"/>
              </w:rPr>
              <w:t xml:space="preserve">, including one </w:t>
            </w:r>
            <w:r w:rsidR="00263E48" w:rsidRPr="00B47513">
              <w:rPr>
                <w:rFonts w:ascii="Arial" w:hAnsi="Arial" w:cs="Arial"/>
                <w:b/>
                <w:sz w:val="20"/>
              </w:rPr>
              <w:t xml:space="preserve">(1) </w:t>
            </w:r>
            <w:r w:rsidR="00080C3A" w:rsidRPr="00B47513">
              <w:rPr>
                <w:rFonts w:ascii="Arial" w:hAnsi="Arial" w:cs="Arial"/>
                <w:b/>
                <w:sz w:val="20"/>
              </w:rPr>
              <w:t>species</w:t>
            </w:r>
            <w:r w:rsidR="00570041">
              <w:rPr>
                <w:rFonts w:ascii="Arial" w:hAnsi="Arial" w:cs="Arial"/>
                <w:b/>
                <w:sz w:val="20"/>
              </w:rPr>
              <w:t>,</w:t>
            </w:r>
            <w:r w:rsidR="00080C3A" w:rsidRPr="00B47513">
              <w:rPr>
                <w:rFonts w:ascii="Arial" w:hAnsi="Arial" w:cs="Arial"/>
                <w:b/>
                <w:sz w:val="20"/>
              </w:rPr>
              <w:t xml:space="preserve"> within the family </w:t>
            </w:r>
            <w:r w:rsidR="00080C3A" w:rsidRPr="00B47513">
              <w:rPr>
                <w:rFonts w:ascii="Arial" w:hAnsi="Arial" w:cs="Arial"/>
                <w:b/>
                <w:i/>
                <w:sz w:val="20"/>
              </w:rPr>
              <w:t>Tectiviridae</w:t>
            </w:r>
            <w:r w:rsidR="00080C3A" w:rsidRPr="00080C3A">
              <w:rPr>
                <w:rFonts w:ascii="Arial" w:hAnsi="Arial" w:cs="Arial"/>
                <w:sz w:val="20"/>
              </w:rPr>
              <w:t xml:space="preserve"> </w:t>
            </w:r>
          </w:p>
        </w:tc>
      </w:tr>
      <w:tr w:rsidR="00CF0A9B" w:rsidRPr="001E492D" w14:paraId="6F2E639E" w14:textId="77777777" w:rsidTr="004D236F">
        <w:trPr>
          <w:trHeight w:val="245"/>
        </w:trPr>
        <w:tc>
          <w:tcPr>
            <w:tcW w:w="9468" w:type="dxa"/>
            <w:gridSpan w:val="4"/>
            <w:tcBorders>
              <w:left w:val="double" w:sz="4" w:space="0" w:color="auto"/>
              <w:bottom w:val="double" w:sz="4" w:space="0" w:color="auto"/>
              <w:right w:val="double" w:sz="4" w:space="0" w:color="auto"/>
            </w:tcBorders>
            <w:vAlign w:val="center"/>
          </w:tcPr>
          <w:p w14:paraId="4F82FCF0" w14:textId="77777777" w:rsidR="00CF0A9B" w:rsidRDefault="00CF0A9B" w:rsidP="004B5D02">
            <w:pPr>
              <w:rPr>
                <w:b/>
              </w:rPr>
            </w:pPr>
            <w:r>
              <w:rPr>
                <w:b/>
              </w:rPr>
              <w:t xml:space="preserve">  </w:t>
            </w:r>
          </w:p>
        </w:tc>
      </w:tr>
      <w:tr w:rsidR="00636B14" w:rsidRPr="009320C8" w14:paraId="4F5728E6" w14:textId="77777777">
        <w:tc>
          <w:tcPr>
            <w:tcW w:w="9468" w:type="dxa"/>
            <w:gridSpan w:val="4"/>
          </w:tcPr>
          <w:p w14:paraId="61B09BD5" w14:textId="77777777" w:rsidR="00636B14" w:rsidRPr="009320C8" w:rsidRDefault="00636B14" w:rsidP="00CE5ECF">
            <w:pPr>
              <w:spacing w:before="120" w:after="120"/>
              <w:rPr>
                <w:rFonts w:ascii="Arial" w:hAnsi="Arial" w:cs="Arial"/>
                <w:b/>
              </w:rPr>
            </w:pPr>
            <w:r w:rsidRPr="009320C8">
              <w:rPr>
                <w:rFonts w:ascii="Arial" w:hAnsi="Arial" w:cs="Arial"/>
                <w:b/>
              </w:rPr>
              <w:t>Author(s):</w:t>
            </w:r>
          </w:p>
        </w:tc>
      </w:tr>
      <w:tr w:rsidR="00636B14" w:rsidRPr="00B47513" w14:paraId="77F68A42" w14:textId="77777777" w:rsidTr="004D236F">
        <w:trPr>
          <w:trHeight w:val="531"/>
        </w:trPr>
        <w:tc>
          <w:tcPr>
            <w:tcW w:w="9468" w:type="dxa"/>
            <w:gridSpan w:val="4"/>
            <w:tcBorders>
              <w:top w:val="single" w:sz="4" w:space="0" w:color="auto"/>
              <w:left w:val="single" w:sz="4" w:space="0" w:color="auto"/>
              <w:bottom w:val="single" w:sz="4" w:space="0" w:color="auto"/>
              <w:right w:val="single" w:sz="4" w:space="0" w:color="auto"/>
            </w:tcBorders>
          </w:tcPr>
          <w:p w14:paraId="5DC8D652" w14:textId="77777777" w:rsidR="00636B14" w:rsidRPr="000B778C" w:rsidRDefault="00080C3A" w:rsidP="0044774D">
            <w:pPr>
              <w:pStyle w:val="BodyTextIndent"/>
              <w:ind w:left="0" w:firstLine="0"/>
              <w:rPr>
                <w:rFonts w:ascii="Arial" w:hAnsi="Arial" w:cs="Arial"/>
                <w:color w:val="000000"/>
                <w:lang w:val="fr-FR"/>
              </w:rPr>
            </w:pPr>
            <w:r w:rsidRPr="000B778C">
              <w:rPr>
                <w:rFonts w:ascii="Arial" w:hAnsi="Arial" w:cs="Arial"/>
                <w:color w:val="000000"/>
                <w:lang w:val="fr-FR"/>
              </w:rPr>
              <w:t>Mart Krupovic</w:t>
            </w:r>
            <w:r w:rsidR="000B778C">
              <w:rPr>
                <w:rFonts w:ascii="Arial" w:hAnsi="Arial" w:cs="Arial"/>
                <w:color w:val="000000"/>
                <w:lang w:val="fr-FR"/>
              </w:rPr>
              <w:t xml:space="preserve"> </w:t>
            </w:r>
            <w:r w:rsidR="000B778C" w:rsidRPr="000B778C">
              <w:rPr>
                <w:rFonts w:ascii="Arial" w:hAnsi="Arial" w:cs="Arial"/>
                <w:color w:val="000000"/>
                <w:lang w:val="fr-BE"/>
              </w:rPr>
              <w:t xml:space="preserve">– </w:t>
            </w:r>
            <w:r w:rsidR="000B778C" w:rsidRPr="000B778C">
              <w:rPr>
                <w:rFonts w:ascii="Arial" w:hAnsi="Arial" w:cs="Arial"/>
                <w:color w:val="000000"/>
                <w:lang w:val="fr-FR"/>
              </w:rPr>
              <w:t>Institut Pasteur</w:t>
            </w:r>
            <w:r w:rsidR="000B778C">
              <w:rPr>
                <w:rFonts w:ascii="Arial" w:hAnsi="Arial" w:cs="Arial"/>
                <w:color w:val="000000"/>
                <w:lang w:val="fr-FR"/>
              </w:rPr>
              <w:t xml:space="preserve"> (France)</w:t>
            </w:r>
          </w:p>
          <w:p w14:paraId="7CD2EEAA" w14:textId="77777777" w:rsidR="00080C3A" w:rsidRPr="000B778C" w:rsidRDefault="00080C3A" w:rsidP="0044774D">
            <w:pPr>
              <w:pStyle w:val="BodyTextIndent"/>
              <w:ind w:left="0" w:firstLine="0"/>
              <w:rPr>
                <w:rFonts w:ascii="Arial" w:hAnsi="Arial" w:cs="Arial"/>
                <w:color w:val="000000"/>
                <w:lang w:val="fr-FR"/>
              </w:rPr>
            </w:pPr>
            <w:r w:rsidRPr="000B778C">
              <w:rPr>
                <w:rFonts w:ascii="Arial" w:hAnsi="Arial" w:cs="Arial"/>
                <w:color w:val="000000"/>
                <w:lang w:val="fr-FR"/>
              </w:rPr>
              <w:t>Annika Gillis</w:t>
            </w:r>
            <w:r w:rsidR="000B778C">
              <w:rPr>
                <w:rFonts w:ascii="Arial" w:hAnsi="Arial" w:cs="Arial"/>
                <w:color w:val="000000"/>
                <w:lang w:val="fr-FR"/>
              </w:rPr>
              <w:t xml:space="preserve"> </w:t>
            </w:r>
            <w:r w:rsidR="000B778C" w:rsidRPr="000B778C">
              <w:rPr>
                <w:rFonts w:ascii="Arial" w:hAnsi="Arial" w:cs="Arial"/>
                <w:color w:val="000000"/>
                <w:lang w:val="fr-BE"/>
              </w:rPr>
              <w:t>– Université catholique de Louvain (Belgium)</w:t>
            </w:r>
          </w:p>
          <w:p w14:paraId="431AD8A8" w14:textId="2858BAF6" w:rsidR="00080C3A" w:rsidRPr="000B778C" w:rsidRDefault="00080C3A" w:rsidP="0044774D">
            <w:pPr>
              <w:pStyle w:val="BodyTextIndent"/>
              <w:ind w:left="0" w:firstLine="0"/>
              <w:rPr>
                <w:rFonts w:ascii="Arial" w:hAnsi="Arial" w:cs="Arial"/>
                <w:color w:val="000000"/>
                <w:lang w:val="fr-FR"/>
              </w:rPr>
            </w:pPr>
            <w:r w:rsidRPr="000B778C">
              <w:rPr>
                <w:rFonts w:ascii="Arial" w:hAnsi="Arial" w:cs="Arial"/>
                <w:color w:val="000000"/>
                <w:lang w:val="fr-FR"/>
              </w:rPr>
              <w:t>Claire le Marrec</w:t>
            </w:r>
            <w:r w:rsidR="000B778C">
              <w:rPr>
                <w:rFonts w:ascii="Arial" w:hAnsi="Arial" w:cs="Arial"/>
                <w:color w:val="000000"/>
                <w:lang w:val="fr-FR"/>
              </w:rPr>
              <w:t xml:space="preserve"> </w:t>
            </w:r>
            <w:r w:rsidR="000B778C" w:rsidRPr="000B778C">
              <w:rPr>
                <w:rFonts w:ascii="Arial" w:hAnsi="Arial" w:cs="Arial"/>
                <w:color w:val="000000"/>
                <w:lang w:val="fr-BE"/>
              </w:rPr>
              <w:t>–</w:t>
            </w:r>
            <w:r w:rsidR="000B778C">
              <w:rPr>
                <w:rFonts w:ascii="Arial" w:hAnsi="Arial" w:cs="Arial"/>
                <w:color w:val="000000"/>
                <w:lang w:val="fr-BE"/>
              </w:rPr>
              <w:t xml:space="preserve"> Université de </w:t>
            </w:r>
            <w:r w:rsidR="000B778C" w:rsidRPr="000B778C">
              <w:rPr>
                <w:rFonts w:ascii="Arial" w:hAnsi="Arial" w:cs="Arial"/>
                <w:color w:val="000000"/>
                <w:lang w:val="fr-BE"/>
              </w:rPr>
              <w:t>Bordeaux</w:t>
            </w:r>
            <w:r w:rsidR="00570041">
              <w:rPr>
                <w:rFonts w:ascii="Arial" w:hAnsi="Arial" w:cs="Arial"/>
                <w:color w:val="000000"/>
                <w:lang w:val="fr-BE"/>
              </w:rPr>
              <w:t xml:space="preserve"> (France)</w:t>
            </w:r>
          </w:p>
        </w:tc>
      </w:tr>
      <w:tr w:rsidR="00CE5ECF" w:rsidRPr="009320C8" w14:paraId="7F38AC7E" w14:textId="77777777" w:rsidTr="003B1954">
        <w:tc>
          <w:tcPr>
            <w:tcW w:w="9468" w:type="dxa"/>
            <w:gridSpan w:val="4"/>
          </w:tcPr>
          <w:p w14:paraId="4822EF07" w14:textId="77777777" w:rsidR="00CE5ECF" w:rsidRPr="009320C8" w:rsidRDefault="00CE5ECF" w:rsidP="00CE5ECF">
            <w:pPr>
              <w:spacing w:before="120" w:after="120"/>
              <w:rPr>
                <w:rFonts w:ascii="Arial" w:hAnsi="Arial" w:cs="Arial"/>
                <w:b/>
              </w:rPr>
            </w:pPr>
            <w:r w:rsidRPr="009320C8">
              <w:rPr>
                <w:rFonts w:ascii="Arial" w:hAnsi="Arial" w:cs="Arial"/>
                <w:b/>
              </w:rPr>
              <w:t>Corresponding author with e-mail address:</w:t>
            </w:r>
          </w:p>
        </w:tc>
      </w:tr>
      <w:tr w:rsidR="00CE5ECF" w:rsidRPr="00B47513" w14:paraId="3D0A4FC7" w14:textId="77777777"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p w14:paraId="3C3E4C85" w14:textId="77777777" w:rsidR="00CE5ECF" w:rsidRPr="00080C3A" w:rsidRDefault="00080C3A" w:rsidP="003B1954">
            <w:pPr>
              <w:pStyle w:val="BodyTextIndent"/>
              <w:ind w:left="0" w:firstLine="0"/>
              <w:rPr>
                <w:rFonts w:ascii="Arial" w:hAnsi="Arial" w:cs="Arial"/>
                <w:color w:val="000000"/>
                <w:lang w:val="fr-FR"/>
              </w:rPr>
            </w:pPr>
            <w:r w:rsidRPr="00080C3A">
              <w:rPr>
                <w:rFonts w:ascii="Arial" w:hAnsi="Arial" w:cs="Arial"/>
                <w:color w:val="000000"/>
                <w:lang w:val="fr-FR"/>
              </w:rPr>
              <w:t>Mart Krupovic (</w:t>
            </w:r>
            <w:hyperlink r:id="rId8" w:history="1">
              <w:r w:rsidRPr="00080C3A">
                <w:rPr>
                  <w:rStyle w:val="Hyperlink"/>
                  <w:rFonts w:ascii="Arial" w:hAnsi="Arial" w:cs="Arial"/>
                  <w:lang w:val="fr-FR"/>
                </w:rPr>
                <w:t>krupovic@pasteur.fr</w:t>
              </w:r>
            </w:hyperlink>
            <w:r w:rsidRPr="00080C3A">
              <w:rPr>
                <w:rFonts w:ascii="Arial" w:hAnsi="Arial" w:cs="Arial"/>
                <w:color w:val="000000"/>
                <w:lang w:val="fr-FR"/>
              </w:rPr>
              <w:t>), Claire le Marrec</w:t>
            </w:r>
            <w:r>
              <w:rPr>
                <w:rFonts w:ascii="Arial" w:hAnsi="Arial" w:cs="Arial"/>
                <w:color w:val="000000"/>
                <w:lang w:val="fr-FR"/>
              </w:rPr>
              <w:t xml:space="preserve"> (</w:t>
            </w:r>
            <w:hyperlink r:id="rId9" w:history="1">
              <w:r w:rsidRPr="00803E3C">
                <w:rPr>
                  <w:rStyle w:val="Hyperlink"/>
                  <w:rFonts w:ascii="Arial" w:hAnsi="Arial" w:cs="Arial"/>
                  <w:lang w:val="fr-FR"/>
                </w:rPr>
                <w:t>clehenaff@enscbp.fr</w:t>
              </w:r>
            </w:hyperlink>
            <w:r>
              <w:rPr>
                <w:rFonts w:ascii="Arial" w:hAnsi="Arial" w:cs="Arial"/>
                <w:color w:val="000000"/>
                <w:lang w:val="fr-FR"/>
              </w:rPr>
              <w:t xml:space="preserve">) </w:t>
            </w:r>
          </w:p>
        </w:tc>
      </w:tr>
      <w:tr w:rsidR="00D1634C" w:rsidRPr="009320C8" w14:paraId="45F63605" w14:textId="77777777">
        <w:tc>
          <w:tcPr>
            <w:tcW w:w="9468" w:type="dxa"/>
            <w:gridSpan w:val="4"/>
          </w:tcPr>
          <w:p w14:paraId="4FA34761"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5010F77C" w14:textId="77777777" w:rsidTr="001578A6">
        <w:trPr>
          <w:tblHeader/>
        </w:trPr>
        <w:tc>
          <w:tcPr>
            <w:tcW w:w="5211" w:type="dxa"/>
            <w:gridSpan w:val="2"/>
            <w:tcBorders>
              <w:top w:val="single" w:sz="4" w:space="0" w:color="auto"/>
              <w:left w:val="single" w:sz="4" w:space="0" w:color="auto"/>
              <w:bottom w:val="single" w:sz="4" w:space="0" w:color="auto"/>
              <w:right w:val="single" w:sz="4" w:space="0" w:color="auto"/>
            </w:tcBorders>
          </w:tcPr>
          <w:p w14:paraId="1183393B"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0"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723756FC" w14:textId="32F149D4" w:rsidR="00D1634C" w:rsidRPr="009320C8" w:rsidRDefault="00A40312" w:rsidP="00C15EC4">
            <w:pPr>
              <w:jc w:val="both"/>
              <w:rPr>
                <w:rFonts w:ascii="Arial" w:hAnsi="Arial" w:cs="Arial"/>
                <w:b/>
              </w:rPr>
            </w:pPr>
            <w:r>
              <w:rPr>
                <w:rFonts w:ascii="Arial" w:hAnsi="Arial" w:cs="Arial"/>
                <w:b/>
              </w:rPr>
              <w:t>Bacterial and Archaeal Viruses Subcommittee</w:t>
            </w:r>
          </w:p>
        </w:tc>
      </w:tr>
      <w:tr w:rsidR="00AA3952" w:rsidRPr="009320C8" w14:paraId="4C10C158" w14:textId="77777777">
        <w:trPr>
          <w:tblHeader/>
        </w:trPr>
        <w:tc>
          <w:tcPr>
            <w:tcW w:w="9468" w:type="dxa"/>
            <w:gridSpan w:val="4"/>
          </w:tcPr>
          <w:p w14:paraId="35F3264A" w14:textId="77777777"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68705B4C" w14:textId="77777777" w:rsidTr="004D236F">
        <w:trPr>
          <w:trHeight w:val="428"/>
        </w:trPr>
        <w:tc>
          <w:tcPr>
            <w:tcW w:w="9468" w:type="dxa"/>
            <w:gridSpan w:val="4"/>
            <w:tcBorders>
              <w:top w:val="single" w:sz="4" w:space="0" w:color="auto"/>
              <w:bottom w:val="single" w:sz="4" w:space="0" w:color="auto"/>
            </w:tcBorders>
          </w:tcPr>
          <w:p w14:paraId="39D62C5A"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6A59E4A5" w14:textId="77777777">
        <w:trPr>
          <w:trHeight w:val="270"/>
        </w:trPr>
        <w:tc>
          <w:tcPr>
            <w:tcW w:w="9468" w:type="dxa"/>
            <w:gridSpan w:val="4"/>
            <w:tcBorders>
              <w:top w:val="single" w:sz="4" w:space="0" w:color="auto"/>
            </w:tcBorders>
          </w:tcPr>
          <w:p w14:paraId="396B7450" w14:textId="77777777" w:rsidR="00422FF0" w:rsidRPr="009320C8" w:rsidRDefault="00422FF0" w:rsidP="00291213">
            <w:pPr>
              <w:pStyle w:val="BodyTextIndent"/>
              <w:ind w:left="0" w:firstLine="0"/>
              <w:rPr>
                <w:rFonts w:ascii="Arial" w:hAnsi="Arial" w:cs="Arial"/>
                <w:color w:val="000000"/>
              </w:rPr>
            </w:pPr>
          </w:p>
        </w:tc>
      </w:tr>
      <w:tr w:rsidR="00422FF0" w:rsidRPr="009320C8" w14:paraId="02CF8DE5" w14:textId="77777777" w:rsidTr="00C15EC4">
        <w:trPr>
          <w:trHeight w:val="270"/>
        </w:trPr>
        <w:tc>
          <w:tcPr>
            <w:tcW w:w="5786" w:type="dxa"/>
            <w:gridSpan w:val="3"/>
          </w:tcPr>
          <w:p w14:paraId="15A58801"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3682" w:type="dxa"/>
          </w:tcPr>
          <w:p w14:paraId="0A5F3DB9" w14:textId="1878A1DF" w:rsidR="00422FF0" w:rsidRPr="009320C8" w:rsidRDefault="00AA2C52" w:rsidP="006F44A4">
            <w:pPr>
              <w:pStyle w:val="BodyTextIndent"/>
              <w:ind w:left="0" w:firstLine="0"/>
              <w:rPr>
                <w:rFonts w:ascii="Arial" w:hAnsi="Arial" w:cs="Arial"/>
                <w:color w:val="000000"/>
              </w:rPr>
            </w:pPr>
            <w:r>
              <w:rPr>
                <w:rFonts w:ascii="Arial" w:hAnsi="Arial" w:cs="Arial"/>
                <w:color w:val="000000"/>
              </w:rPr>
              <w:t>May 2018</w:t>
            </w:r>
          </w:p>
        </w:tc>
      </w:tr>
      <w:tr w:rsidR="00422FF0" w:rsidRPr="009320C8" w14:paraId="4D6861EF" w14:textId="77777777" w:rsidTr="00C15EC4">
        <w:trPr>
          <w:trHeight w:val="270"/>
        </w:trPr>
        <w:tc>
          <w:tcPr>
            <w:tcW w:w="5786" w:type="dxa"/>
            <w:gridSpan w:val="3"/>
            <w:tcBorders>
              <w:bottom w:val="single" w:sz="4" w:space="0" w:color="auto"/>
            </w:tcBorders>
          </w:tcPr>
          <w:p w14:paraId="6F8339B2"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3682" w:type="dxa"/>
            <w:tcBorders>
              <w:bottom w:val="single" w:sz="4" w:space="0" w:color="auto"/>
            </w:tcBorders>
          </w:tcPr>
          <w:p w14:paraId="184941A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881E57E"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47B7F485" w14:textId="77777777" w:rsidTr="003B1954">
        <w:tc>
          <w:tcPr>
            <w:tcW w:w="9468" w:type="dxa"/>
          </w:tcPr>
          <w:p w14:paraId="6A4DDA2E"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bl>
    <w:p w14:paraId="772C7C0A" w14:textId="77777777" w:rsidR="00534EED" w:rsidRDefault="00534EED" w:rsidP="00603CFD">
      <w:pPr>
        <w:pStyle w:val="BodyTextIndent"/>
        <w:ind w:left="0" w:firstLine="0"/>
        <w:rPr>
          <w:rFonts w:ascii="Arial" w:hAnsi="Arial" w:cs="Arial"/>
          <w:color w:val="000000"/>
          <w:sz w:val="20"/>
        </w:rPr>
      </w:pPr>
    </w:p>
    <w:p w14:paraId="009F70CA" w14:textId="77777777" w:rsidR="00534EED" w:rsidRDefault="00534EED" w:rsidP="00603CFD">
      <w:pPr>
        <w:pStyle w:val="BodyTextIndent"/>
        <w:ind w:left="0" w:firstLine="0"/>
        <w:rPr>
          <w:rFonts w:ascii="Arial" w:hAnsi="Arial" w:cs="Arial"/>
          <w:color w:val="000000"/>
          <w:sz w:val="20"/>
        </w:rPr>
      </w:pPr>
    </w:p>
    <w:p w14:paraId="7FB6B13F"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1EBAC31D"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791C2AB0" w14:textId="77777777" w:rsidTr="00BF75AF">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7DDBECE6" w14:textId="73D12695" w:rsidR="009F32F7" w:rsidRPr="009320C8" w:rsidRDefault="009F32F7" w:rsidP="00BF75AF">
            <w:pPr>
              <w:spacing w:before="120"/>
              <w:rPr>
                <w:rFonts w:ascii="Arial" w:hAnsi="Arial" w:cs="Arial"/>
                <w:b/>
                <w:sz w:val="22"/>
                <w:szCs w:val="22"/>
              </w:rPr>
            </w:pPr>
            <w:r w:rsidRPr="009320C8">
              <w:rPr>
                <w:rFonts w:ascii="Arial" w:hAnsi="Arial" w:cs="Arial"/>
                <w:b/>
                <w:sz w:val="22"/>
                <w:szCs w:val="22"/>
              </w:rPr>
              <w:t>Name of accompanying Excel module:</w:t>
            </w:r>
            <w:r w:rsidR="00080C3A">
              <w:rPr>
                <w:rFonts w:ascii="Arial" w:hAnsi="Arial" w:cs="Arial"/>
                <w:b/>
                <w:sz w:val="22"/>
                <w:szCs w:val="22"/>
              </w:rPr>
              <w:t xml:space="preserve"> </w:t>
            </w:r>
            <w:r w:rsidR="00AA2C52" w:rsidRPr="00AA2C52">
              <w:rPr>
                <w:rFonts w:ascii="Arial" w:hAnsi="Arial" w:cs="Arial"/>
                <w:sz w:val="22"/>
                <w:szCs w:val="22"/>
              </w:rPr>
              <w:t>2018.093B.N.v1.Gammatectivirus</w:t>
            </w:r>
            <w:bookmarkStart w:id="0" w:name="_GoBack"/>
            <w:bookmarkEnd w:id="0"/>
          </w:p>
        </w:tc>
      </w:tr>
    </w:tbl>
    <w:p w14:paraId="489E9AF2"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2017_TP_Template_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07AB1D3E" w14:textId="77777777" w:rsidR="00447B33" w:rsidRDefault="00447B33" w:rsidP="008A612E">
      <w:pPr>
        <w:pStyle w:val="BodyTextIndent"/>
        <w:ind w:left="0" w:firstLine="0"/>
        <w:rPr>
          <w:rFonts w:ascii="Arial" w:hAnsi="Arial" w:cs="Arial"/>
          <w:b/>
          <w:color w:val="000000"/>
          <w:szCs w:val="24"/>
        </w:rPr>
      </w:pPr>
    </w:p>
    <w:p w14:paraId="4A8D9982" w14:textId="77777777" w:rsidR="00447B33" w:rsidRDefault="00447B33" w:rsidP="008A612E">
      <w:pPr>
        <w:pStyle w:val="BodyTextIndent"/>
        <w:ind w:left="0" w:firstLine="0"/>
        <w:rPr>
          <w:rFonts w:ascii="Arial" w:hAnsi="Arial" w:cs="Arial"/>
          <w:b/>
          <w:color w:val="000000"/>
          <w:szCs w:val="24"/>
        </w:rPr>
      </w:pPr>
    </w:p>
    <w:p w14:paraId="3546DCBB" w14:textId="77777777" w:rsidR="00447B33" w:rsidRDefault="00447B33" w:rsidP="008A612E">
      <w:pPr>
        <w:pStyle w:val="BodyTextIndent"/>
        <w:ind w:left="0" w:firstLine="0"/>
        <w:rPr>
          <w:rFonts w:ascii="Arial" w:hAnsi="Arial" w:cs="Arial"/>
          <w:b/>
          <w:color w:val="000000"/>
          <w:szCs w:val="24"/>
        </w:rPr>
      </w:pPr>
    </w:p>
    <w:p w14:paraId="7A8EB6DD"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lastRenderedPageBreak/>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346051EA" w14:textId="77777777" w:rsidTr="00AA601F">
        <w:trPr>
          <w:trHeight w:val="266"/>
          <w:tblHeader/>
        </w:trPr>
        <w:tc>
          <w:tcPr>
            <w:tcW w:w="9228" w:type="dxa"/>
          </w:tcPr>
          <w:p w14:paraId="500A40AF" w14:textId="77777777"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bl>
    <w:p w14:paraId="6E335DC4" w14:textId="3A511962" w:rsidR="00500488" w:rsidRDefault="00080C3A" w:rsidP="00AC0E72">
      <w:pPr>
        <w:rPr>
          <w:lang w:val="en-GB"/>
        </w:rPr>
      </w:pPr>
      <w:r w:rsidRPr="00080C3A">
        <w:rPr>
          <w:lang w:val="en-GB"/>
        </w:rPr>
        <w:t>The</w:t>
      </w:r>
      <w:r w:rsidR="0072339F">
        <w:rPr>
          <w:lang w:val="en-GB"/>
        </w:rPr>
        <w:t xml:space="preserve"> temperate</w:t>
      </w:r>
      <w:r w:rsidRPr="00080C3A">
        <w:rPr>
          <w:lang w:val="en-GB"/>
        </w:rPr>
        <w:t xml:space="preserve"> </w:t>
      </w:r>
      <w:r w:rsidRPr="00B47513">
        <w:rPr>
          <w:lang w:val="en-GB"/>
        </w:rPr>
        <w:t>Gluconobacter</w:t>
      </w:r>
      <w:r w:rsidRPr="00080C3A">
        <w:rPr>
          <w:lang w:val="en-GB"/>
        </w:rPr>
        <w:t xml:space="preserve"> phage GC1 </w:t>
      </w:r>
      <w:r>
        <w:rPr>
          <w:lang w:val="en-GB"/>
        </w:rPr>
        <w:t>has been</w:t>
      </w:r>
      <w:r w:rsidRPr="00080C3A">
        <w:rPr>
          <w:lang w:val="en-GB"/>
        </w:rPr>
        <w:t xml:space="preserve"> isolated from a juice sample collected during dry white wine making</w:t>
      </w:r>
      <w:r>
        <w:rPr>
          <w:lang w:val="en-GB"/>
        </w:rPr>
        <w:t xml:space="preserve"> [1]</w:t>
      </w:r>
      <w:r w:rsidRPr="00080C3A">
        <w:rPr>
          <w:lang w:val="en-GB"/>
        </w:rPr>
        <w:t xml:space="preserve">. The bacteriophage infects </w:t>
      </w:r>
      <w:r w:rsidRPr="00080C3A">
        <w:rPr>
          <w:i/>
          <w:lang w:val="en-GB"/>
        </w:rPr>
        <w:t>Gluconobacter cerinus</w:t>
      </w:r>
      <w:r w:rsidRPr="00080C3A">
        <w:rPr>
          <w:lang w:val="en-GB"/>
        </w:rPr>
        <w:t>, an acetic acid bacterium which represents a spoilage microorganism during wine making. Transmission electron microscopy revealed tail-less icosahedral particles with a diameter of ~78 nm</w:t>
      </w:r>
      <w:r w:rsidR="00500488">
        <w:rPr>
          <w:lang w:val="en-GB"/>
        </w:rPr>
        <w:t xml:space="preserve"> (Figure 1)</w:t>
      </w:r>
      <w:r w:rsidR="002F389E">
        <w:rPr>
          <w:lang w:val="en-GB"/>
        </w:rPr>
        <w:t xml:space="preserve">, similar to those </w:t>
      </w:r>
      <w:r w:rsidR="0072339F">
        <w:rPr>
          <w:lang w:val="en-GB"/>
        </w:rPr>
        <w:t xml:space="preserve">belonging to </w:t>
      </w:r>
      <w:r w:rsidR="002F389E">
        <w:rPr>
          <w:lang w:val="en-GB"/>
        </w:rPr>
        <w:t xml:space="preserve">the family </w:t>
      </w:r>
      <w:r w:rsidR="002F389E">
        <w:rPr>
          <w:i/>
          <w:lang w:val="en-GB"/>
        </w:rPr>
        <w:t>Tectiviridae</w:t>
      </w:r>
      <w:r w:rsidRPr="00080C3A">
        <w:rPr>
          <w:lang w:val="en-GB"/>
        </w:rPr>
        <w:t xml:space="preserve">. </w:t>
      </w:r>
    </w:p>
    <w:p w14:paraId="43A1074A" w14:textId="77777777" w:rsidR="00500488" w:rsidRDefault="00500488" w:rsidP="00AC0E72">
      <w:pPr>
        <w:rPr>
          <w:lang w:val="en-GB"/>
        </w:rPr>
      </w:pPr>
    </w:p>
    <w:p w14:paraId="13A168B1" w14:textId="77777777" w:rsidR="00500488" w:rsidRDefault="007B0D83" w:rsidP="00AC0E72">
      <w:pPr>
        <w:rPr>
          <w:lang w:val="en-GB"/>
        </w:rPr>
      </w:pPr>
      <w:r>
        <w:rPr>
          <w:b/>
          <w:noProof/>
          <w:sz w:val="20"/>
          <w:lang w:val="en-GB" w:eastAsia="en-GB"/>
        </w:rPr>
        <w:drawing>
          <wp:anchor distT="0" distB="0" distL="114300" distR="114300" simplePos="0" relativeHeight="251658752" behindDoc="0" locked="0" layoutInCell="1" allowOverlap="1" wp14:anchorId="33532B1C" wp14:editId="18A99463">
            <wp:simplePos x="0" y="0"/>
            <wp:positionH relativeFrom="column">
              <wp:posOffset>0</wp:posOffset>
            </wp:positionH>
            <wp:positionV relativeFrom="paragraph">
              <wp:posOffset>-3810</wp:posOffset>
            </wp:positionV>
            <wp:extent cx="1724025" cy="2057400"/>
            <wp:effectExtent l="0" t="0" r="0" b="0"/>
            <wp:wrapSquare wrapText="bothSides"/>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4025" cy="2057400"/>
                    </a:xfrm>
                    <a:prstGeom prst="rect">
                      <a:avLst/>
                    </a:prstGeom>
                    <a:noFill/>
                  </pic:spPr>
                </pic:pic>
              </a:graphicData>
            </a:graphic>
            <wp14:sizeRelH relativeFrom="page">
              <wp14:pctWidth>0</wp14:pctWidth>
            </wp14:sizeRelH>
            <wp14:sizeRelV relativeFrom="page">
              <wp14:pctHeight>0</wp14:pctHeight>
            </wp14:sizeRelV>
          </wp:anchor>
        </w:drawing>
      </w:r>
      <w:r w:rsidR="00500488" w:rsidRPr="00296EA3">
        <w:rPr>
          <w:b/>
          <w:sz w:val="20"/>
          <w:lang w:val="en-GB"/>
        </w:rPr>
        <w:t>Figure 1.</w:t>
      </w:r>
      <w:r w:rsidR="00500488" w:rsidRPr="009834EF">
        <w:rPr>
          <w:sz w:val="20"/>
          <w:lang w:val="en-GB"/>
        </w:rPr>
        <w:t xml:space="preserve"> Transmission electron micrograph of GC1 virions negatively stained with uranyl acetate. Scale bar, 50 nm.</w:t>
      </w:r>
      <w:r w:rsidR="0084139F" w:rsidRPr="009834EF">
        <w:rPr>
          <w:sz w:val="20"/>
          <w:lang w:val="en-GB"/>
        </w:rPr>
        <w:t xml:space="preserve"> The figure is modified from Ref [1].</w:t>
      </w:r>
    </w:p>
    <w:p w14:paraId="323A1ABB" w14:textId="77777777" w:rsidR="00500488" w:rsidRDefault="00500488" w:rsidP="00AC0E72">
      <w:pPr>
        <w:rPr>
          <w:lang w:val="en-GB"/>
        </w:rPr>
      </w:pPr>
    </w:p>
    <w:p w14:paraId="7A2035E5" w14:textId="77777777" w:rsidR="00500488" w:rsidRDefault="00500488" w:rsidP="00AC0E72">
      <w:pPr>
        <w:rPr>
          <w:lang w:val="en-GB"/>
        </w:rPr>
      </w:pPr>
    </w:p>
    <w:p w14:paraId="40C09AB6" w14:textId="77777777" w:rsidR="00500488" w:rsidRDefault="00500488" w:rsidP="00AC0E72">
      <w:pPr>
        <w:rPr>
          <w:lang w:val="en-GB"/>
        </w:rPr>
      </w:pPr>
    </w:p>
    <w:p w14:paraId="37FC1029" w14:textId="77777777" w:rsidR="00500488" w:rsidRDefault="00500488" w:rsidP="00AC0E72">
      <w:pPr>
        <w:rPr>
          <w:lang w:val="en-GB"/>
        </w:rPr>
      </w:pPr>
    </w:p>
    <w:p w14:paraId="5C04B8C7" w14:textId="77777777" w:rsidR="00500488" w:rsidRDefault="00500488" w:rsidP="00AC0E72">
      <w:pPr>
        <w:rPr>
          <w:lang w:val="en-GB"/>
        </w:rPr>
      </w:pPr>
    </w:p>
    <w:p w14:paraId="3C3199DD" w14:textId="77777777" w:rsidR="00500488" w:rsidRDefault="00500488" w:rsidP="00AC0E72">
      <w:pPr>
        <w:rPr>
          <w:lang w:val="en-GB"/>
        </w:rPr>
      </w:pPr>
    </w:p>
    <w:p w14:paraId="55E87885" w14:textId="77777777" w:rsidR="00500488" w:rsidRDefault="00500488" w:rsidP="00AC0E72">
      <w:pPr>
        <w:rPr>
          <w:lang w:val="en-GB"/>
        </w:rPr>
      </w:pPr>
    </w:p>
    <w:p w14:paraId="526459DC" w14:textId="77777777" w:rsidR="00500488" w:rsidRDefault="00500488" w:rsidP="00AC0E72">
      <w:pPr>
        <w:rPr>
          <w:lang w:val="en-GB"/>
        </w:rPr>
      </w:pPr>
    </w:p>
    <w:p w14:paraId="6ED83B10" w14:textId="77777777" w:rsidR="00500488" w:rsidRDefault="00500488" w:rsidP="00AC0E72">
      <w:pPr>
        <w:rPr>
          <w:lang w:val="en-GB"/>
        </w:rPr>
      </w:pPr>
    </w:p>
    <w:p w14:paraId="785ED576" w14:textId="77777777" w:rsidR="00500488" w:rsidRDefault="00500488" w:rsidP="00AC0E72">
      <w:pPr>
        <w:rPr>
          <w:lang w:val="en-GB"/>
        </w:rPr>
      </w:pPr>
    </w:p>
    <w:p w14:paraId="69300B6C" w14:textId="77777777" w:rsidR="00500488" w:rsidRDefault="00500488" w:rsidP="00AC0E72">
      <w:pPr>
        <w:rPr>
          <w:lang w:val="en-GB"/>
        </w:rPr>
      </w:pPr>
    </w:p>
    <w:p w14:paraId="73331C4D" w14:textId="544795AC" w:rsidR="006C4A0C" w:rsidRDefault="002F389E" w:rsidP="00AC0E72">
      <w:pPr>
        <w:rPr>
          <w:lang w:val="en-GB"/>
        </w:rPr>
      </w:pPr>
      <w:r>
        <w:rPr>
          <w:lang w:val="en-GB"/>
        </w:rPr>
        <w:t xml:space="preserve">Genomic characterization of </w:t>
      </w:r>
      <w:r w:rsidR="0072339F">
        <w:rPr>
          <w:lang w:val="en-GB"/>
        </w:rPr>
        <w:t xml:space="preserve">phage </w:t>
      </w:r>
      <w:r>
        <w:rPr>
          <w:lang w:val="en-GB"/>
        </w:rPr>
        <w:t xml:space="preserve">GC1 revealed further relationship to tectiviruses. </w:t>
      </w:r>
      <w:r w:rsidR="00080C3A" w:rsidRPr="00080C3A">
        <w:rPr>
          <w:lang w:val="en-GB"/>
        </w:rPr>
        <w:t xml:space="preserve">The </w:t>
      </w:r>
      <w:r>
        <w:rPr>
          <w:lang w:val="en-GB"/>
        </w:rPr>
        <w:t xml:space="preserve">genome of GC1 is a </w:t>
      </w:r>
      <w:r w:rsidR="00080C3A" w:rsidRPr="00080C3A">
        <w:rPr>
          <w:lang w:val="en-GB"/>
        </w:rPr>
        <w:t xml:space="preserve">linear double-stranded DNA </w:t>
      </w:r>
      <w:r>
        <w:rPr>
          <w:lang w:val="en-GB"/>
        </w:rPr>
        <w:t xml:space="preserve">molecule of </w:t>
      </w:r>
      <w:r w:rsidR="00080C3A" w:rsidRPr="00080C3A">
        <w:rPr>
          <w:lang w:val="en-GB"/>
        </w:rPr>
        <w:t>16,523 base pairs</w:t>
      </w:r>
      <w:r>
        <w:rPr>
          <w:lang w:val="en-GB"/>
        </w:rPr>
        <w:t xml:space="preserve">, </w:t>
      </w:r>
      <w:r w:rsidR="00080C3A" w:rsidRPr="00080C3A">
        <w:rPr>
          <w:lang w:val="en-GB"/>
        </w:rPr>
        <w:t>contain</w:t>
      </w:r>
      <w:r>
        <w:rPr>
          <w:lang w:val="en-GB"/>
        </w:rPr>
        <w:t>ing</w:t>
      </w:r>
      <w:r w:rsidR="00080C3A" w:rsidRPr="00080C3A">
        <w:rPr>
          <w:lang w:val="en-GB"/>
        </w:rPr>
        <w:t xml:space="preserve"> terminal inverted repeats</w:t>
      </w:r>
      <w:r>
        <w:rPr>
          <w:lang w:val="en-GB"/>
        </w:rPr>
        <w:t>.</w:t>
      </w:r>
      <w:r w:rsidR="00080C3A" w:rsidRPr="00080C3A">
        <w:rPr>
          <w:lang w:val="en-GB"/>
        </w:rPr>
        <w:t xml:space="preserve"> </w:t>
      </w:r>
      <w:r>
        <w:rPr>
          <w:lang w:val="en-GB"/>
        </w:rPr>
        <w:t xml:space="preserve">Twelve of the </w:t>
      </w:r>
      <w:r w:rsidR="00080C3A" w:rsidRPr="00080C3A">
        <w:rPr>
          <w:lang w:val="en-GB"/>
        </w:rPr>
        <w:t xml:space="preserve">36 </w:t>
      </w:r>
      <w:r>
        <w:rPr>
          <w:lang w:val="en-GB"/>
        </w:rPr>
        <w:t xml:space="preserve">predicted gene products of GC1 have homologs in tectiviruses, with closer similarity to members of the genus </w:t>
      </w:r>
      <w:r>
        <w:rPr>
          <w:i/>
          <w:lang w:val="en-GB"/>
        </w:rPr>
        <w:t>Alphatectivirus</w:t>
      </w:r>
      <w:r>
        <w:rPr>
          <w:lang w:val="en-GB"/>
        </w:rPr>
        <w:t xml:space="preserve"> (Figure 2). </w:t>
      </w:r>
      <w:r w:rsidR="00A050C2" w:rsidRPr="00A050C2">
        <w:rPr>
          <w:lang w:val="en-GB"/>
        </w:rPr>
        <w:t>The</w:t>
      </w:r>
      <w:r>
        <w:rPr>
          <w:lang w:val="en-GB"/>
        </w:rPr>
        <w:t xml:space="preserve"> shared genes encode for </w:t>
      </w:r>
      <w:r w:rsidR="00A050C2" w:rsidRPr="00A050C2">
        <w:rPr>
          <w:lang w:val="en-GB"/>
        </w:rPr>
        <w:t>key proteins involved in DNA replication (protein-primed family B DNA polymerase (DNAP)) as well as in virion structure and assembly (major capsid protein, genome packaging ATPase and two minor structural proteins). The homologous genes occup</w:t>
      </w:r>
      <w:r>
        <w:rPr>
          <w:lang w:val="en-GB"/>
        </w:rPr>
        <w:t>y</w:t>
      </w:r>
      <w:r w:rsidR="00A050C2" w:rsidRPr="00A050C2">
        <w:rPr>
          <w:lang w:val="en-GB"/>
        </w:rPr>
        <w:t xml:space="preserve"> equivalent positions within the GC1 genome when compared to the genomic layout of other tectiviruses, with a notable inversion of the region encompassing the genes </w:t>
      </w:r>
      <w:r w:rsidR="00AD65E6">
        <w:rPr>
          <w:lang w:val="en-GB"/>
        </w:rPr>
        <w:t>coding</w:t>
      </w:r>
      <w:r w:rsidR="00192DC9">
        <w:rPr>
          <w:lang w:val="en-GB"/>
        </w:rPr>
        <w:t xml:space="preserve"> </w:t>
      </w:r>
      <w:r w:rsidR="00A050C2" w:rsidRPr="00A050C2">
        <w:rPr>
          <w:lang w:val="en-GB"/>
        </w:rPr>
        <w:t xml:space="preserve">for the DNAP and putative terminal protein (Figure </w:t>
      </w:r>
      <w:r w:rsidR="00A050C2">
        <w:rPr>
          <w:lang w:val="en-GB"/>
        </w:rPr>
        <w:t>2</w:t>
      </w:r>
      <w:r w:rsidR="00A050C2" w:rsidRPr="00A050C2">
        <w:rPr>
          <w:lang w:val="en-GB"/>
        </w:rPr>
        <w:t>).</w:t>
      </w:r>
      <w:r>
        <w:rPr>
          <w:lang w:val="en-GB"/>
        </w:rPr>
        <w:t xml:space="preserve"> </w:t>
      </w:r>
      <w:r w:rsidR="007C059C">
        <w:rPr>
          <w:lang w:val="en-GB"/>
        </w:rPr>
        <w:t xml:space="preserve">Thus, morphological and genomic features of GC1 indicated that it is a divergent member of the family </w:t>
      </w:r>
      <w:r w:rsidR="007C059C" w:rsidRPr="007C059C">
        <w:rPr>
          <w:i/>
          <w:lang w:val="en-GB"/>
        </w:rPr>
        <w:t>Tectiviridae</w:t>
      </w:r>
      <w:r w:rsidR="007C059C">
        <w:rPr>
          <w:lang w:val="en-GB"/>
        </w:rPr>
        <w:t>.</w:t>
      </w:r>
    </w:p>
    <w:p w14:paraId="0AD1AFA9" w14:textId="77777777" w:rsidR="00500488" w:rsidRDefault="00500488" w:rsidP="00AC0E72">
      <w:pPr>
        <w:rPr>
          <w:lang w:val="en-GB"/>
        </w:rPr>
      </w:pPr>
    </w:p>
    <w:p w14:paraId="294C9946" w14:textId="77777777" w:rsidR="00AC0E72" w:rsidRDefault="00AC0E72" w:rsidP="00AC0E72">
      <w:pPr>
        <w:rPr>
          <w:lang w:val="en-GB"/>
        </w:rPr>
      </w:pPr>
    </w:p>
    <w:p w14:paraId="7AA0D2B7" w14:textId="77777777" w:rsidR="005206DD" w:rsidRDefault="007B0D83" w:rsidP="00AC0E72">
      <w:pPr>
        <w:rPr>
          <w:lang w:val="en-GB"/>
        </w:rPr>
      </w:pPr>
      <w:r>
        <w:rPr>
          <w:noProof/>
          <w:lang w:val="en-GB" w:eastAsia="en-GB"/>
        </w:rPr>
        <w:drawing>
          <wp:inline distT="0" distB="0" distL="0" distR="0" wp14:anchorId="3CAE4AD2" wp14:editId="05791E41">
            <wp:extent cx="598170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81700" cy="2110740"/>
                    </a:xfrm>
                    <a:prstGeom prst="rect">
                      <a:avLst/>
                    </a:prstGeom>
                    <a:noFill/>
                    <a:ln>
                      <a:noFill/>
                    </a:ln>
                  </pic:spPr>
                </pic:pic>
              </a:graphicData>
            </a:graphic>
          </wp:inline>
        </w:drawing>
      </w:r>
    </w:p>
    <w:p w14:paraId="06C0B0D8" w14:textId="77777777" w:rsidR="00D10142" w:rsidRDefault="00D10142" w:rsidP="00AC0E72">
      <w:pPr>
        <w:rPr>
          <w:b/>
          <w:sz w:val="20"/>
          <w:lang w:val="en-GB"/>
        </w:rPr>
      </w:pPr>
    </w:p>
    <w:p w14:paraId="294CF369" w14:textId="77777777" w:rsidR="009320C8" w:rsidRPr="009834EF" w:rsidRDefault="005206DD" w:rsidP="00AC0E72">
      <w:pPr>
        <w:rPr>
          <w:sz w:val="20"/>
          <w:lang w:val="en-GB"/>
        </w:rPr>
      </w:pPr>
      <w:r w:rsidRPr="009834EF">
        <w:rPr>
          <w:b/>
          <w:sz w:val="20"/>
          <w:lang w:val="en-GB"/>
        </w:rPr>
        <w:t xml:space="preserve">Figure </w:t>
      </w:r>
      <w:r w:rsidR="00834F12" w:rsidRPr="009834EF">
        <w:rPr>
          <w:b/>
          <w:sz w:val="20"/>
          <w:lang w:val="en-GB"/>
        </w:rPr>
        <w:t>2</w:t>
      </w:r>
      <w:r w:rsidRPr="009834EF">
        <w:rPr>
          <w:b/>
          <w:sz w:val="20"/>
          <w:lang w:val="en-GB"/>
        </w:rPr>
        <w:t xml:space="preserve">. </w:t>
      </w:r>
      <w:r w:rsidRPr="009834EF">
        <w:rPr>
          <w:sz w:val="20"/>
          <w:lang w:val="en-GB"/>
        </w:rPr>
        <w:t xml:space="preserve">Comparison of the genome maps of bacteriophage GC1 (middle), alphatectivirus PRD1 (top) and betatectivirus Bam35 (bottom). The figure shows the similarity between translated nucleotide sequences as determined by the tblastx algorithm. Abbreviations: TP, terminal protein; DNAP, family B DNA polymerase; MCP, major capsid protein; str. protein, structural protein; SSB, single-stranded DNA-binding protein; DBP, DNA-binding protein. ORFs shared with alphatectiviruses are highlighted in light yellow. ORFs filled in grey do not have homologs </w:t>
      </w:r>
      <w:r w:rsidRPr="009834EF">
        <w:rPr>
          <w:sz w:val="20"/>
          <w:lang w:val="en-GB"/>
        </w:rPr>
        <w:lastRenderedPageBreak/>
        <w:t>in either of the other two genomes. The color code for gene function is DNAP (red), muramidase (green), packaging ATPase (orange), MCP (blue), transglycosylase (green). The figure is reproduced from Ref [1].</w:t>
      </w:r>
    </w:p>
    <w:p w14:paraId="0822CBAE" w14:textId="77777777" w:rsidR="00AA601F" w:rsidRDefault="00AA601F" w:rsidP="00AC0E72">
      <w:pPr>
        <w:rPr>
          <w:lang w:val="en-GB"/>
        </w:rPr>
      </w:pPr>
    </w:p>
    <w:p w14:paraId="39EC7F18" w14:textId="47160B90" w:rsidR="0084139F" w:rsidRDefault="009834EF" w:rsidP="00AC0E72">
      <w:pPr>
        <w:rPr>
          <w:lang w:val="en-GB"/>
        </w:rPr>
      </w:pPr>
      <w:r w:rsidRPr="009834EF">
        <w:rPr>
          <w:lang w:val="en-GB"/>
        </w:rPr>
        <w:t xml:space="preserve">To explore the </w:t>
      </w:r>
      <w:r w:rsidR="0015160F">
        <w:rPr>
          <w:lang w:val="en-GB"/>
        </w:rPr>
        <w:t xml:space="preserve">taxonomic </w:t>
      </w:r>
      <w:r w:rsidRPr="009834EF">
        <w:rPr>
          <w:lang w:val="en-GB"/>
        </w:rPr>
        <w:t xml:space="preserve">position of GC1 within the family </w:t>
      </w:r>
      <w:r w:rsidRPr="009834EF">
        <w:rPr>
          <w:i/>
          <w:lang w:val="en-GB"/>
        </w:rPr>
        <w:t>Tectiviridae</w:t>
      </w:r>
      <w:r w:rsidRPr="009834EF">
        <w:rPr>
          <w:lang w:val="en-GB"/>
        </w:rPr>
        <w:t xml:space="preserve">, we performed maximum likelihood phylogenetic analysis of the three key proteins—MCP, packaging ATPase and DNAP—conserved in all members of the family. In all cases, GC1 formed a well-supported sister group to the tectiviruses from the genus </w:t>
      </w:r>
      <w:r w:rsidRPr="00B47513">
        <w:rPr>
          <w:i/>
          <w:lang w:val="en-GB"/>
        </w:rPr>
        <w:t>Alphatectivirus</w:t>
      </w:r>
      <w:r w:rsidRPr="009834EF">
        <w:rPr>
          <w:lang w:val="en-GB"/>
        </w:rPr>
        <w:t xml:space="preserve"> (Figure </w:t>
      </w:r>
      <w:r>
        <w:rPr>
          <w:lang w:val="en-GB"/>
        </w:rPr>
        <w:t>3</w:t>
      </w:r>
      <w:r w:rsidRPr="009834EF">
        <w:rPr>
          <w:lang w:val="en-GB"/>
        </w:rPr>
        <w:t xml:space="preserve">a–c). Next, we calculated pairwise intergenomic distances between all sequenced tectiviruses with the Genome-BLAST Distance Phylogeny (GBDP) method using VICTOR tool </w:t>
      </w:r>
      <w:r>
        <w:rPr>
          <w:lang w:val="en-GB"/>
        </w:rPr>
        <w:t>(</w:t>
      </w:r>
      <w:hyperlink r:id="rId13" w:history="1">
        <w:r w:rsidRPr="00803E3C">
          <w:rPr>
            <w:rStyle w:val="Hyperlink"/>
            <w:lang w:val="en-GB"/>
          </w:rPr>
          <w:t>https://victor.dsmz.de</w:t>
        </w:r>
      </w:hyperlink>
      <w:r>
        <w:rPr>
          <w:lang w:val="en-GB"/>
        </w:rPr>
        <w:t>)</w:t>
      </w:r>
      <w:r w:rsidRPr="009834EF">
        <w:rPr>
          <w:lang w:val="en-GB"/>
        </w:rPr>
        <w:t>.</w:t>
      </w:r>
      <w:r>
        <w:rPr>
          <w:lang w:val="en-GB"/>
        </w:rPr>
        <w:t xml:space="preserve"> </w:t>
      </w:r>
      <w:r w:rsidRPr="009834EF">
        <w:rPr>
          <w:lang w:val="en-GB"/>
        </w:rPr>
        <w:t>This genome-wide comparison also placed GC1 as a deep-branching sister group to</w:t>
      </w:r>
      <w:r w:rsidR="00FF1729">
        <w:rPr>
          <w:lang w:val="en-GB"/>
        </w:rPr>
        <w:t xml:space="preserve"> the</w:t>
      </w:r>
      <w:r w:rsidRPr="009834EF">
        <w:rPr>
          <w:lang w:val="en-GB"/>
        </w:rPr>
        <w:t xml:space="preserve"> </w:t>
      </w:r>
      <w:r w:rsidR="00FF1729">
        <w:rPr>
          <w:lang w:val="en-GB"/>
        </w:rPr>
        <w:t xml:space="preserve">alphatectiviruses </w:t>
      </w:r>
      <w:r w:rsidRPr="009834EF">
        <w:rPr>
          <w:lang w:val="en-GB"/>
        </w:rPr>
        <w:t xml:space="preserve">(Figure </w:t>
      </w:r>
      <w:r>
        <w:rPr>
          <w:lang w:val="en-GB"/>
        </w:rPr>
        <w:t>3</w:t>
      </w:r>
      <w:r w:rsidRPr="009834EF">
        <w:rPr>
          <w:lang w:val="en-GB"/>
        </w:rPr>
        <w:t xml:space="preserve">d). Consistently, sequence </w:t>
      </w:r>
      <w:r w:rsidR="00FF1729" w:rsidRPr="009834EF">
        <w:rPr>
          <w:lang w:val="en-GB"/>
        </w:rPr>
        <w:t>analys</w:t>
      </w:r>
      <w:r w:rsidR="00FF1729">
        <w:rPr>
          <w:lang w:val="en-GB"/>
        </w:rPr>
        <w:t>e</w:t>
      </w:r>
      <w:r w:rsidR="00FF1729" w:rsidRPr="009834EF">
        <w:rPr>
          <w:lang w:val="en-GB"/>
        </w:rPr>
        <w:t xml:space="preserve">s </w:t>
      </w:r>
      <w:r w:rsidRPr="009834EF">
        <w:rPr>
          <w:lang w:val="en-GB"/>
        </w:rPr>
        <w:t xml:space="preserve">of the GC1 gene products (Figure </w:t>
      </w:r>
      <w:r>
        <w:rPr>
          <w:lang w:val="en-GB"/>
        </w:rPr>
        <w:t>2</w:t>
      </w:r>
      <w:r w:rsidRPr="009834EF">
        <w:rPr>
          <w:lang w:val="en-GB"/>
        </w:rPr>
        <w:t xml:space="preserve">) </w:t>
      </w:r>
      <w:r w:rsidR="00FF1729">
        <w:rPr>
          <w:lang w:val="en-GB"/>
        </w:rPr>
        <w:t xml:space="preserve">also </w:t>
      </w:r>
      <w:r w:rsidRPr="009834EF">
        <w:rPr>
          <w:lang w:val="en-GB"/>
        </w:rPr>
        <w:t>suggest</w:t>
      </w:r>
      <w:r w:rsidR="00FF1729">
        <w:rPr>
          <w:lang w:val="en-GB"/>
        </w:rPr>
        <w:t>ed</w:t>
      </w:r>
      <w:r w:rsidRPr="009834EF">
        <w:rPr>
          <w:lang w:val="en-GB"/>
        </w:rPr>
        <w:t xml:space="preserve"> that the virus is most closely related to phages of the genus </w:t>
      </w:r>
      <w:r w:rsidRPr="009834EF">
        <w:rPr>
          <w:i/>
          <w:lang w:val="en-GB"/>
        </w:rPr>
        <w:t>Alphatectivirus</w:t>
      </w:r>
      <w:r w:rsidRPr="009834EF">
        <w:rPr>
          <w:lang w:val="en-GB"/>
        </w:rPr>
        <w:t xml:space="preserve">. However, unlike other alphatectiviruses, GC1 is a temperate phage. Furthermore, </w:t>
      </w:r>
      <w:r w:rsidR="005C0E34">
        <w:rPr>
          <w:lang w:val="en-GB"/>
        </w:rPr>
        <w:t xml:space="preserve">whereas all currently known alphatectiviruses infect gammaproteobacteria, GC1 replicates in an alpharoteobacterial host. Finally, </w:t>
      </w:r>
      <w:r w:rsidRPr="009834EF">
        <w:rPr>
          <w:lang w:val="en-GB"/>
        </w:rPr>
        <w:t>pairwise comparison of GC1 with other alphatectiviruses using BLASTN, as recommended by the ICTV Bacterial and Archaeal Viruses Subcommittee</w:t>
      </w:r>
      <w:r w:rsidR="005C0E34">
        <w:rPr>
          <w:lang w:val="en-GB"/>
        </w:rPr>
        <w:t xml:space="preserve"> [2]</w:t>
      </w:r>
      <w:r w:rsidRPr="009834EF">
        <w:rPr>
          <w:lang w:val="en-GB"/>
        </w:rPr>
        <w:t xml:space="preserve">, did not reveal common regions of sufficient similarity at the nucleotide level. Collectively, these results confirm that GC1 is a highly divergent member of the family </w:t>
      </w:r>
      <w:r w:rsidRPr="005C0E34">
        <w:rPr>
          <w:i/>
          <w:lang w:val="en-GB"/>
        </w:rPr>
        <w:t>Tectiviridae</w:t>
      </w:r>
      <w:r w:rsidRPr="009834EF">
        <w:rPr>
          <w:lang w:val="en-GB"/>
        </w:rPr>
        <w:t xml:space="preserve">, which cannot be placed into either </w:t>
      </w:r>
      <w:r w:rsidR="005C0E34">
        <w:rPr>
          <w:lang w:val="en-GB"/>
        </w:rPr>
        <w:t xml:space="preserve">of the two </w:t>
      </w:r>
      <w:r w:rsidRPr="009834EF">
        <w:rPr>
          <w:lang w:val="en-GB"/>
        </w:rPr>
        <w:t>existing gen</w:t>
      </w:r>
      <w:r w:rsidR="005C0E34">
        <w:rPr>
          <w:lang w:val="en-GB"/>
        </w:rPr>
        <w:t>era</w:t>
      </w:r>
      <w:r w:rsidRPr="009834EF">
        <w:rPr>
          <w:lang w:val="en-GB"/>
        </w:rPr>
        <w:t xml:space="preserve"> based on the recommended demarcation criteria [3]. Thus, we propose that GC1 </w:t>
      </w:r>
      <w:r w:rsidR="00345A60">
        <w:rPr>
          <w:lang w:val="en-GB"/>
        </w:rPr>
        <w:t xml:space="preserve">be classified as a type species of a new genus, </w:t>
      </w:r>
      <w:r w:rsidR="00345A60">
        <w:rPr>
          <w:i/>
          <w:lang w:val="en-GB"/>
        </w:rPr>
        <w:t>Gamm</w:t>
      </w:r>
      <w:r w:rsidR="00570041">
        <w:rPr>
          <w:i/>
          <w:lang w:val="en-GB"/>
        </w:rPr>
        <w:t>a</w:t>
      </w:r>
      <w:r w:rsidR="00345A60">
        <w:rPr>
          <w:i/>
          <w:lang w:val="en-GB"/>
        </w:rPr>
        <w:t>tectivirus</w:t>
      </w:r>
      <w:r w:rsidR="00345A60">
        <w:rPr>
          <w:lang w:val="en-GB"/>
        </w:rPr>
        <w:t xml:space="preserve">, </w:t>
      </w:r>
      <w:r w:rsidRPr="009834EF">
        <w:rPr>
          <w:lang w:val="en-GB"/>
        </w:rPr>
        <w:t xml:space="preserve">within the </w:t>
      </w:r>
      <w:r w:rsidR="00345A60">
        <w:rPr>
          <w:lang w:val="en-GB"/>
        </w:rPr>
        <w:t xml:space="preserve">family </w:t>
      </w:r>
      <w:r w:rsidRPr="00345A60">
        <w:rPr>
          <w:i/>
          <w:lang w:val="en-GB"/>
        </w:rPr>
        <w:t>Tectiviridae</w:t>
      </w:r>
      <w:r w:rsidRPr="009834EF">
        <w:rPr>
          <w:lang w:val="en-GB"/>
        </w:rPr>
        <w:t>.</w:t>
      </w:r>
    </w:p>
    <w:p w14:paraId="40D48DFE" w14:textId="77777777" w:rsidR="00AA601F" w:rsidRDefault="00AA601F" w:rsidP="00AC0E72">
      <w:pPr>
        <w:rPr>
          <w:lang w:val="en-GB"/>
        </w:rPr>
      </w:pPr>
    </w:p>
    <w:p w14:paraId="35580DAF" w14:textId="77777777" w:rsidR="00345A60" w:rsidRDefault="007B0D83" w:rsidP="00AC0E72">
      <w:pPr>
        <w:rPr>
          <w:lang w:val="en-GB"/>
        </w:rPr>
      </w:pPr>
      <w:r>
        <w:rPr>
          <w:noProof/>
          <w:lang w:val="en-GB" w:eastAsia="en-GB"/>
        </w:rPr>
        <w:drawing>
          <wp:inline distT="0" distB="0" distL="0" distR="0" wp14:anchorId="128A4D6D" wp14:editId="5EC90FB5">
            <wp:extent cx="5173980" cy="3124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73980" cy="3124200"/>
                    </a:xfrm>
                    <a:prstGeom prst="rect">
                      <a:avLst/>
                    </a:prstGeom>
                    <a:noFill/>
                    <a:ln>
                      <a:noFill/>
                    </a:ln>
                  </pic:spPr>
                </pic:pic>
              </a:graphicData>
            </a:graphic>
          </wp:inline>
        </w:drawing>
      </w:r>
    </w:p>
    <w:p w14:paraId="0E11C633" w14:textId="77777777" w:rsidR="00345A60" w:rsidRDefault="00345A60" w:rsidP="00AC0E72">
      <w:pPr>
        <w:rPr>
          <w:lang w:val="en-GB"/>
        </w:rPr>
      </w:pPr>
    </w:p>
    <w:p w14:paraId="5AED3AEA" w14:textId="77777777" w:rsidR="00345A60" w:rsidRPr="009C76C0" w:rsidRDefault="00345A60" w:rsidP="00AC0E72">
      <w:pPr>
        <w:rPr>
          <w:sz w:val="20"/>
          <w:lang w:val="en-GB"/>
        </w:rPr>
      </w:pPr>
      <w:r w:rsidRPr="00296EA3">
        <w:rPr>
          <w:b/>
          <w:sz w:val="20"/>
          <w:lang w:val="en-GB"/>
        </w:rPr>
        <w:t>Figure 3.</w:t>
      </w:r>
      <w:r w:rsidRPr="009C76C0">
        <w:rPr>
          <w:sz w:val="20"/>
          <w:lang w:val="en-GB"/>
        </w:rPr>
        <w:t xml:space="preserve"> Phylogenetic relationship of GC1 compared with other tectiviruses based on the three conserved proteins: the major capsid protein (A)</w:t>
      </w:r>
      <w:r w:rsidR="009C76C0">
        <w:rPr>
          <w:sz w:val="20"/>
          <w:lang w:val="en-GB"/>
        </w:rPr>
        <w:t>,</w:t>
      </w:r>
      <w:r w:rsidRPr="009C76C0">
        <w:rPr>
          <w:sz w:val="20"/>
          <w:lang w:val="en-GB"/>
        </w:rPr>
        <w:t xml:space="preserve"> packaging ATPase (B) and DNAP (C)</w:t>
      </w:r>
      <w:r w:rsidR="009C76C0">
        <w:rPr>
          <w:sz w:val="20"/>
          <w:lang w:val="en-GB"/>
        </w:rPr>
        <w:t>.</w:t>
      </w:r>
      <w:r w:rsidRPr="009C76C0">
        <w:rPr>
          <w:sz w:val="20"/>
          <w:lang w:val="en-GB"/>
        </w:rPr>
        <w:t xml:space="preserve"> Phylogenetic tree computed using the Genome BLAST Distance Phylogeny (GBDP) strategy (D)</w:t>
      </w:r>
      <w:r w:rsidR="009C76C0">
        <w:rPr>
          <w:sz w:val="20"/>
          <w:lang w:val="en-GB"/>
        </w:rPr>
        <w:t>.</w:t>
      </w:r>
      <w:r w:rsidRPr="009C76C0">
        <w:rPr>
          <w:sz w:val="20"/>
          <w:lang w:val="en-GB"/>
        </w:rPr>
        <w:t xml:space="preserve"> Maximum likelihood phylogenetic trees (A–C) were computed using the best-fit substitution models for given alignments, as determined by PhyML [4]. The trees were rooted with taxa including the closest homologs of the corresponding proteins outside of the family </w:t>
      </w:r>
      <w:r w:rsidRPr="009C76C0">
        <w:rPr>
          <w:i/>
          <w:sz w:val="20"/>
          <w:lang w:val="en-GB"/>
        </w:rPr>
        <w:t>Tectiviridae</w:t>
      </w:r>
      <w:r w:rsidRPr="009C76C0">
        <w:rPr>
          <w:sz w:val="20"/>
          <w:lang w:val="en-GB"/>
        </w:rPr>
        <w:t>. Scale bars in (A–C) represent the number of substitutions per site, whereas in panel (D)</w:t>
      </w:r>
      <w:r w:rsidR="009C76C0">
        <w:rPr>
          <w:sz w:val="20"/>
          <w:lang w:val="en-GB"/>
        </w:rPr>
        <w:t>,</w:t>
      </w:r>
      <w:r w:rsidRPr="009C76C0">
        <w:rPr>
          <w:sz w:val="20"/>
          <w:lang w:val="en-GB"/>
        </w:rPr>
        <w:t xml:space="preserve"> the branch lengths are scaled according to the distance formula (d6) used for the calculation, i.e. sum of all identities found in high-scoring segment pairs between the two proteomes divided by total genome length.</w:t>
      </w:r>
      <w:r w:rsidR="00A747D9" w:rsidRPr="00A747D9">
        <w:rPr>
          <w:sz w:val="20"/>
          <w:lang w:val="en-GB"/>
        </w:rPr>
        <w:t xml:space="preserve"> </w:t>
      </w:r>
      <w:r w:rsidR="00A747D9" w:rsidRPr="009834EF">
        <w:rPr>
          <w:sz w:val="20"/>
          <w:lang w:val="en-GB"/>
        </w:rPr>
        <w:t>The figure is reproduced from Ref [1].</w:t>
      </w:r>
    </w:p>
    <w:p w14:paraId="6B8AA090" w14:textId="77777777" w:rsidR="000D33CD" w:rsidRDefault="000D33CD" w:rsidP="00AC0E72">
      <w:pPr>
        <w:rPr>
          <w:b/>
          <w:lang w:val="en-GB"/>
        </w:rPr>
      </w:pPr>
    </w:p>
    <w:p w14:paraId="005AADCE" w14:textId="77777777" w:rsidR="00233237" w:rsidRDefault="00233237" w:rsidP="000D33CD">
      <w:pPr>
        <w:rPr>
          <w:b/>
        </w:rPr>
      </w:pPr>
    </w:p>
    <w:p w14:paraId="3E3588A6" w14:textId="77777777" w:rsidR="00233237" w:rsidRDefault="00233237" w:rsidP="00233237">
      <w:pPr>
        <w:rPr>
          <w:b/>
          <w:i/>
        </w:rPr>
      </w:pPr>
    </w:p>
    <w:p w14:paraId="527B28BC" w14:textId="6170C973" w:rsidR="00233237" w:rsidRPr="00B47513" w:rsidRDefault="00233237" w:rsidP="00233237">
      <w:pPr>
        <w:rPr>
          <w:b/>
        </w:rPr>
      </w:pPr>
      <w:r>
        <w:rPr>
          <w:b/>
          <w:i/>
        </w:rPr>
        <w:lastRenderedPageBreak/>
        <w:t>Gamma</w:t>
      </w:r>
      <w:r w:rsidRPr="00233237">
        <w:rPr>
          <w:b/>
          <w:i/>
        </w:rPr>
        <w:t xml:space="preserve">tectivirus </w:t>
      </w:r>
      <w:r w:rsidRPr="00233237">
        <w:rPr>
          <w:b/>
        </w:rPr>
        <w:t>(new genus)</w:t>
      </w:r>
    </w:p>
    <w:p w14:paraId="20B10A68" w14:textId="77777777" w:rsidR="00233237" w:rsidRDefault="00233237" w:rsidP="000D33CD">
      <w:pPr>
        <w:rPr>
          <w:b/>
        </w:rPr>
      </w:pPr>
    </w:p>
    <w:p w14:paraId="49C50E0C" w14:textId="34E06C8C" w:rsidR="000D33CD" w:rsidRDefault="000D33CD" w:rsidP="000D33CD">
      <w:pPr>
        <w:rPr>
          <w:lang w:val="en-GB"/>
        </w:rPr>
      </w:pPr>
      <w:r w:rsidRPr="00B47513">
        <w:rPr>
          <w:b/>
        </w:rPr>
        <w:t xml:space="preserve">Genus demarcation criteria: </w:t>
      </w:r>
      <w:r w:rsidRPr="000D33CD">
        <w:t>BLASTN</w:t>
      </w:r>
      <w:r w:rsidRPr="00B47513">
        <w:t xml:space="preserve">, </w:t>
      </w:r>
      <w:r>
        <w:t xml:space="preserve">genomic comparisons and </w:t>
      </w:r>
      <w:r w:rsidRPr="000D33CD">
        <w:t>phylogenetic analyses (Fig</w:t>
      </w:r>
      <w:r>
        <w:t xml:space="preserve">ures </w:t>
      </w:r>
      <w:r w:rsidRPr="000D33CD">
        <w:t xml:space="preserve">2 and </w:t>
      </w:r>
      <w:r>
        <w:t>3</w:t>
      </w:r>
      <w:r w:rsidRPr="00B47513">
        <w:t xml:space="preserve">), all indicate that the proposed genus, </w:t>
      </w:r>
      <w:r w:rsidRPr="00B47513">
        <w:rPr>
          <w:i/>
        </w:rPr>
        <w:t>Gammatectivirus</w:t>
      </w:r>
      <w:r w:rsidRPr="00B47513">
        <w:t xml:space="preserve">, is cohesive and distinct from other genera. </w:t>
      </w:r>
    </w:p>
    <w:p w14:paraId="29852D35" w14:textId="03DFCA46" w:rsidR="000D33CD" w:rsidRDefault="000D33CD" w:rsidP="000D33CD">
      <w:pPr>
        <w:rPr>
          <w:lang w:val="en-GB"/>
        </w:rPr>
      </w:pPr>
    </w:p>
    <w:p w14:paraId="3B5F9168" w14:textId="03135F0F" w:rsidR="00AB44B3" w:rsidRDefault="00AB44B3" w:rsidP="000D33CD">
      <w:pPr>
        <w:rPr>
          <w:lang w:val="en-GB"/>
        </w:rPr>
      </w:pPr>
      <w:r w:rsidRPr="00B47513">
        <w:rPr>
          <w:b/>
          <w:lang w:val="en-GB"/>
        </w:rPr>
        <w:t>Type species:</w:t>
      </w:r>
      <w:r w:rsidRPr="00AB44B3">
        <w:rPr>
          <w:lang w:val="en-GB"/>
        </w:rPr>
        <w:t xml:space="preserve"> </w:t>
      </w:r>
      <w:r w:rsidRPr="00B47513">
        <w:rPr>
          <w:i/>
          <w:lang w:val="en-GB"/>
        </w:rPr>
        <w:t>Gluconobacter virus GC1</w:t>
      </w:r>
      <w:r>
        <w:rPr>
          <w:lang w:val="en-GB"/>
        </w:rPr>
        <w:t>. Gluconobacter phage GC1</w:t>
      </w:r>
      <w:r w:rsidRPr="00AB44B3">
        <w:rPr>
          <w:lang w:val="en-GB"/>
        </w:rPr>
        <w:t xml:space="preserve"> </w:t>
      </w:r>
      <w:r>
        <w:rPr>
          <w:lang w:val="en-GB"/>
        </w:rPr>
        <w:t xml:space="preserve">is the only </w:t>
      </w:r>
      <w:r w:rsidRPr="00AB44B3">
        <w:rPr>
          <w:lang w:val="en-GB"/>
        </w:rPr>
        <w:t>described member of this genus.</w:t>
      </w:r>
    </w:p>
    <w:p w14:paraId="3C4020E9" w14:textId="04526003" w:rsidR="00AB44B3" w:rsidRDefault="00AB44B3" w:rsidP="000D33CD">
      <w:pPr>
        <w:rPr>
          <w:lang w:val="en-GB"/>
        </w:rPr>
      </w:pPr>
    </w:p>
    <w:p w14:paraId="178C2A47" w14:textId="153FDB48" w:rsidR="000D33CD" w:rsidRDefault="000D33CD" w:rsidP="000D33CD">
      <w:pPr>
        <w:rPr>
          <w:lang w:val="en-GB"/>
        </w:rPr>
      </w:pPr>
      <w:r w:rsidRPr="00B47513">
        <w:rPr>
          <w:b/>
          <w:lang w:val="en-GB"/>
        </w:rPr>
        <w:t>Genus name:</w:t>
      </w:r>
      <w:r>
        <w:rPr>
          <w:lang w:val="en-GB"/>
        </w:rPr>
        <w:t xml:space="preserve"> </w:t>
      </w:r>
      <w:r w:rsidRPr="00B47513">
        <w:rPr>
          <w:i/>
          <w:lang w:val="en-GB"/>
        </w:rPr>
        <w:t>Gammatectivirus</w:t>
      </w:r>
      <w:r w:rsidRPr="000D33CD">
        <w:rPr>
          <w:lang w:val="en-GB"/>
        </w:rPr>
        <w:t xml:space="preserve">; from </w:t>
      </w:r>
      <w:r w:rsidRPr="00B47513">
        <w:rPr>
          <w:i/>
          <w:lang w:val="en-GB"/>
        </w:rPr>
        <w:t>gamma</w:t>
      </w:r>
      <w:r w:rsidRPr="000D33CD">
        <w:rPr>
          <w:lang w:val="en-GB"/>
        </w:rPr>
        <w:t xml:space="preserve">, the </w:t>
      </w:r>
      <w:r>
        <w:rPr>
          <w:lang w:val="en-GB"/>
        </w:rPr>
        <w:t xml:space="preserve">third </w:t>
      </w:r>
      <w:r w:rsidRPr="000D33CD">
        <w:rPr>
          <w:lang w:val="en-GB"/>
        </w:rPr>
        <w:t xml:space="preserve">letter of the Greek alphabet, indicating </w:t>
      </w:r>
      <w:r>
        <w:rPr>
          <w:lang w:val="en-GB"/>
        </w:rPr>
        <w:t>third</w:t>
      </w:r>
      <w:r w:rsidRPr="000D33CD">
        <w:rPr>
          <w:lang w:val="en-GB"/>
        </w:rPr>
        <w:t xml:space="preserve"> genus of this family and from Latin </w:t>
      </w:r>
      <w:r w:rsidRPr="00B47513">
        <w:rPr>
          <w:i/>
          <w:lang w:val="en-GB"/>
        </w:rPr>
        <w:t>tectus</w:t>
      </w:r>
      <w:r w:rsidRPr="000D33CD">
        <w:rPr>
          <w:lang w:val="en-GB"/>
        </w:rPr>
        <w:t>, meaning “covered”.</w:t>
      </w:r>
    </w:p>
    <w:p w14:paraId="11BD7E96" w14:textId="77777777" w:rsidR="000D33CD" w:rsidRPr="001705E3" w:rsidRDefault="000D33CD" w:rsidP="000D33CD">
      <w:pPr>
        <w:rPr>
          <w:lang w:val="en-GB"/>
        </w:rPr>
      </w:pPr>
    </w:p>
    <w:p w14:paraId="65D908D7" w14:textId="2CAD7E61" w:rsidR="001705E3" w:rsidRDefault="001705E3" w:rsidP="00AC0E72">
      <w:pPr>
        <w:rPr>
          <w:b/>
          <w:lang w:val="en-GB"/>
        </w:rPr>
      </w:pPr>
      <w:r w:rsidRPr="001705E3">
        <w:rPr>
          <w:b/>
          <w:lang w:val="en-GB"/>
        </w:rPr>
        <w:t>Species demarcation criteria</w:t>
      </w:r>
    </w:p>
    <w:p w14:paraId="5235039C" w14:textId="77777777" w:rsidR="001705E3" w:rsidRPr="001705E3" w:rsidRDefault="001705E3" w:rsidP="00AC0E72">
      <w:pPr>
        <w:rPr>
          <w:lang w:val="en-GB"/>
        </w:rPr>
      </w:pPr>
      <w:r>
        <w:rPr>
          <w:lang w:val="en-GB"/>
        </w:rPr>
        <w:t>Not applicable. There is only one species in the genus.</w:t>
      </w:r>
    </w:p>
    <w:p w14:paraId="56D859E7" w14:textId="77777777" w:rsidR="001705E3" w:rsidRDefault="001705E3" w:rsidP="00AC0E72">
      <w:pPr>
        <w:rPr>
          <w:lang w:val="en-GB"/>
        </w:rPr>
      </w:pPr>
    </w:p>
    <w:tbl>
      <w:tblPr>
        <w:tblW w:w="9502" w:type="dxa"/>
        <w:tblLook w:val="04A0" w:firstRow="1" w:lastRow="0" w:firstColumn="1" w:lastColumn="0" w:noHBand="0" w:noVBand="1"/>
      </w:tblPr>
      <w:tblGrid>
        <w:gridCol w:w="9502"/>
      </w:tblGrid>
      <w:tr w:rsidR="00AA601F" w:rsidRPr="001E492D" w14:paraId="5865977B" w14:textId="77777777" w:rsidTr="00447B33">
        <w:trPr>
          <w:tblHeader/>
        </w:trPr>
        <w:tc>
          <w:tcPr>
            <w:tcW w:w="9502" w:type="dxa"/>
          </w:tcPr>
          <w:p w14:paraId="36EF7331" w14:textId="77777777" w:rsidR="00233237" w:rsidRDefault="00233237" w:rsidP="00A01958">
            <w:pPr>
              <w:spacing w:after="120"/>
              <w:rPr>
                <w:rFonts w:ascii="Arial" w:hAnsi="Arial" w:cs="Arial"/>
                <w:b/>
              </w:rPr>
            </w:pPr>
          </w:p>
          <w:p w14:paraId="44FDD1C7" w14:textId="5D91A18C" w:rsidR="00AA601F" w:rsidRPr="009320C8" w:rsidRDefault="00AA601F" w:rsidP="00A01958">
            <w:pPr>
              <w:spacing w:after="120"/>
              <w:rPr>
                <w:rFonts w:ascii="Arial" w:hAnsi="Arial" w:cs="Arial"/>
                <w:b/>
              </w:rPr>
            </w:pPr>
            <w:r w:rsidRPr="009320C8">
              <w:rPr>
                <w:rFonts w:ascii="Arial" w:hAnsi="Arial" w:cs="Arial"/>
                <w:b/>
              </w:rPr>
              <w:t>References:</w:t>
            </w:r>
          </w:p>
        </w:tc>
      </w:tr>
      <w:tr w:rsidR="00AA601F" w:rsidRPr="00080C3A" w14:paraId="6D0EF91C" w14:textId="77777777" w:rsidTr="00447B33">
        <w:trPr>
          <w:trHeight w:val="860"/>
        </w:trPr>
        <w:tc>
          <w:tcPr>
            <w:tcW w:w="9502" w:type="dxa"/>
            <w:tcBorders>
              <w:top w:val="single" w:sz="8" w:space="0" w:color="auto"/>
              <w:left w:val="single" w:sz="8" w:space="0" w:color="auto"/>
              <w:bottom w:val="single" w:sz="8" w:space="0" w:color="auto"/>
              <w:right w:val="single" w:sz="8" w:space="0" w:color="auto"/>
            </w:tcBorders>
          </w:tcPr>
          <w:p w14:paraId="4C7141DE" w14:textId="77777777" w:rsidR="00AA601F" w:rsidRPr="000B778C" w:rsidRDefault="00AA601F" w:rsidP="00A01958">
            <w:pPr>
              <w:pStyle w:val="BodyTextIndent"/>
              <w:ind w:left="567" w:hanging="567"/>
              <w:rPr>
                <w:rFonts w:ascii="Times New Roman" w:hAnsi="Times New Roman"/>
                <w:color w:val="000000"/>
              </w:rPr>
            </w:pPr>
          </w:p>
          <w:p w14:paraId="2FF8C8FA" w14:textId="77777777" w:rsidR="00AA601F" w:rsidRDefault="00080C3A" w:rsidP="00080C3A">
            <w:pPr>
              <w:pStyle w:val="BodyTextIndent"/>
              <w:ind w:left="567" w:hanging="567"/>
              <w:rPr>
                <w:rFonts w:ascii="Times New Roman" w:hAnsi="Times New Roman"/>
                <w:color w:val="000000"/>
              </w:rPr>
            </w:pPr>
            <w:r w:rsidRPr="00080C3A">
              <w:rPr>
                <w:rFonts w:ascii="Times New Roman" w:hAnsi="Times New Roman"/>
                <w:color w:val="000000"/>
              </w:rPr>
              <w:t xml:space="preserve">[1] Philippe C, Krupovic M, Jaomanjaka F, Claisse O, Petrel M, le Marrec C. Bacteriophage GC1, a novel tectivirus infecting </w:t>
            </w:r>
            <w:r w:rsidRPr="00080C3A">
              <w:rPr>
                <w:rFonts w:ascii="Times New Roman" w:hAnsi="Times New Roman"/>
                <w:i/>
                <w:color w:val="000000"/>
              </w:rPr>
              <w:t>Gluconobacter cerinus</w:t>
            </w:r>
            <w:r w:rsidRPr="00080C3A">
              <w:rPr>
                <w:rFonts w:ascii="Times New Roman" w:hAnsi="Times New Roman"/>
                <w:color w:val="000000"/>
              </w:rPr>
              <w:t>, an acetic acid bacterium associated with wine-making.</w:t>
            </w:r>
            <w:r>
              <w:rPr>
                <w:rFonts w:ascii="Times New Roman" w:hAnsi="Times New Roman"/>
                <w:color w:val="000000"/>
              </w:rPr>
              <w:t xml:space="preserve"> </w:t>
            </w:r>
            <w:r w:rsidRPr="00080C3A">
              <w:rPr>
                <w:rFonts w:ascii="Times New Roman" w:hAnsi="Times New Roman"/>
                <w:color w:val="000000"/>
              </w:rPr>
              <w:t>Viruses. 2018;</w:t>
            </w:r>
            <w:r>
              <w:rPr>
                <w:rFonts w:ascii="Times New Roman" w:hAnsi="Times New Roman"/>
                <w:color w:val="000000"/>
              </w:rPr>
              <w:t xml:space="preserve"> </w:t>
            </w:r>
            <w:r w:rsidRPr="00080C3A">
              <w:rPr>
                <w:rFonts w:ascii="Times New Roman" w:hAnsi="Times New Roman"/>
                <w:color w:val="000000"/>
              </w:rPr>
              <w:t>10(1): E39.</w:t>
            </w:r>
          </w:p>
          <w:p w14:paraId="7642E4CD" w14:textId="77777777" w:rsidR="005C0E34" w:rsidRDefault="005C0E34" w:rsidP="005C0E34">
            <w:pPr>
              <w:pStyle w:val="BodyTextIndent"/>
              <w:ind w:left="567" w:hanging="567"/>
              <w:rPr>
                <w:rFonts w:ascii="Times New Roman" w:hAnsi="Times New Roman"/>
                <w:color w:val="000000"/>
              </w:rPr>
            </w:pPr>
            <w:r>
              <w:rPr>
                <w:rFonts w:ascii="Times New Roman" w:hAnsi="Times New Roman"/>
                <w:color w:val="000000"/>
              </w:rPr>
              <w:t xml:space="preserve">[2] </w:t>
            </w:r>
            <w:r w:rsidRPr="005C0E34">
              <w:rPr>
                <w:rFonts w:ascii="Times New Roman" w:hAnsi="Times New Roman"/>
                <w:color w:val="000000"/>
              </w:rPr>
              <w:t>Krupovic M, Dutilh BE, Adriaenssens EM, Wittmann J, Vogensen FK, Sullivan MB, Rumnieks J, Prangishvili D, Lavigne R, Kropinski AM, Klumpp J, Gillis A, Enault F, Edwards RA, Duffy S, Clokie MR, Barylski J, Ackermann HW, Kuhn JH.</w:t>
            </w:r>
            <w:r>
              <w:rPr>
                <w:rFonts w:ascii="Times New Roman" w:hAnsi="Times New Roman"/>
                <w:color w:val="000000"/>
              </w:rPr>
              <w:t xml:space="preserve"> </w:t>
            </w:r>
            <w:r w:rsidRPr="005C0E34">
              <w:rPr>
                <w:rFonts w:ascii="Times New Roman" w:hAnsi="Times New Roman"/>
                <w:color w:val="000000"/>
              </w:rPr>
              <w:t>Taxonomy of prokaryotic viruses: update from the ICTV bacterial and archaeal viruses</w:t>
            </w:r>
            <w:r>
              <w:rPr>
                <w:rFonts w:ascii="Times New Roman" w:hAnsi="Times New Roman"/>
                <w:color w:val="000000"/>
              </w:rPr>
              <w:t xml:space="preserve"> </w:t>
            </w:r>
            <w:r w:rsidRPr="005C0E34">
              <w:rPr>
                <w:rFonts w:ascii="Times New Roman" w:hAnsi="Times New Roman"/>
                <w:color w:val="000000"/>
              </w:rPr>
              <w:t>subcommittee. Arch Virol. 2016;</w:t>
            </w:r>
            <w:r>
              <w:rPr>
                <w:rFonts w:ascii="Times New Roman" w:hAnsi="Times New Roman"/>
                <w:color w:val="000000"/>
              </w:rPr>
              <w:t xml:space="preserve"> </w:t>
            </w:r>
            <w:r w:rsidRPr="005C0E34">
              <w:rPr>
                <w:rFonts w:ascii="Times New Roman" w:hAnsi="Times New Roman"/>
                <w:color w:val="000000"/>
              </w:rPr>
              <w:t>161(4):1095-9.</w:t>
            </w:r>
          </w:p>
          <w:p w14:paraId="321EF94E" w14:textId="0C9861EA" w:rsidR="00570041" w:rsidRDefault="005C0E34" w:rsidP="00570041">
            <w:pPr>
              <w:pStyle w:val="BodyTextIndent"/>
              <w:ind w:left="567" w:hanging="567"/>
              <w:rPr>
                <w:rFonts w:ascii="Times New Roman" w:hAnsi="Times New Roman"/>
                <w:color w:val="000000"/>
              </w:rPr>
            </w:pPr>
            <w:r>
              <w:rPr>
                <w:rFonts w:ascii="Times New Roman" w:hAnsi="Times New Roman"/>
                <w:color w:val="000000"/>
              </w:rPr>
              <w:t xml:space="preserve">[3] </w:t>
            </w:r>
            <w:r w:rsidRPr="005C0E34">
              <w:rPr>
                <w:rFonts w:ascii="Times New Roman" w:hAnsi="Times New Roman"/>
                <w:color w:val="000000"/>
              </w:rPr>
              <w:t>Gillis A</w:t>
            </w:r>
            <w:r>
              <w:rPr>
                <w:rFonts w:ascii="Times New Roman" w:hAnsi="Times New Roman"/>
                <w:color w:val="000000"/>
              </w:rPr>
              <w:t>,</w:t>
            </w:r>
            <w:r w:rsidRPr="005C0E34">
              <w:rPr>
                <w:rFonts w:ascii="Times New Roman" w:hAnsi="Times New Roman"/>
                <w:color w:val="000000"/>
              </w:rPr>
              <w:t xml:space="preserve"> Bin Jang, H</w:t>
            </w:r>
            <w:r>
              <w:rPr>
                <w:rFonts w:ascii="Times New Roman" w:hAnsi="Times New Roman"/>
                <w:color w:val="000000"/>
              </w:rPr>
              <w:t>,</w:t>
            </w:r>
            <w:r w:rsidRPr="005C0E34">
              <w:rPr>
                <w:rFonts w:ascii="Times New Roman" w:hAnsi="Times New Roman"/>
                <w:color w:val="000000"/>
              </w:rPr>
              <w:t xml:space="preserve"> Mahillon J</w:t>
            </w:r>
            <w:r>
              <w:rPr>
                <w:rFonts w:ascii="Times New Roman" w:hAnsi="Times New Roman"/>
                <w:color w:val="000000"/>
              </w:rPr>
              <w:t>,</w:t>
            </w:r>
            <w:r w:rsidRPr="005C0E34">
              <w:rPr>
                <w:rFonts w:ascii="Times New Roman" w:hAnsi="Times New Roman"/>
                <w:color w:val="000000"/>
              </w:rPr>
              <w:t xml:space="preserve"> Kuhn JH</w:t>
            </w:r>
            <w:r>
              <w:rPr>
                <w:rFonts w:ascii="Times New Roman" w:hAnsi="Times New Roman"/>
                <w:color w:val="000000"/>
              </w:rPr>
              <w:t>,</w:t>
            </w:r>
            <w:r w:rsidRPr="005C0E34">
              <w:rPr>
                <w:rFonts w:ascii="Times New Roman" w:hAnsi="Times New Roman"/>
                <w:color w:val="000000"/>
              </w:rPr>
              <w:t xml:space="preserve"> Kropinski AM</w:t>
            </w:r>
            <w:r>
              <w:rPr>
                <w:rFonts w:ascii="Times New Roman" w:hAnsi="Times New Roman"/>
                <w:color w:val="000000"/>
              </w:rPr>
              <w:t>,</w:t>
            </w:r>
            <w:r w:rsidRPr="005C0E34">
              <w:rPr>
                <w:rFonts w:ascii="Times New Roman" w:hAnsi="Times New Roman"/>
                <w:color w:val="000000"/>
              </w:rPr>
              <w:t xml:space="preserve"> Adriaenssens E</w:t>
            </w:r>
            <w:r>
              <w:rPr>
                <w:rFonts w:ascii="Times New Roman" w:hAnsi="Times New Roman"/>
                <w:color w:val="000000"/>
              </w:rPr>
              <w:t>,</w:t>
            </w:r>
            <w:r w:rsidRPr="005C0E34">
              <w:rPr>
                <w:rFonts w:ascii="Times New Roman" w:hAnsi="Times New Roman"/>
                <w:color w:val="000000"/>
              </w:rPr>
              <w:t xml:space="preserve"> Lavigne R. ICTV Taxonomic Proposal 2017. 013B.</w:t>
            </w:r>
            <w:r w:rsidR="00570041">
              <w:rPr>
                <w:rFonts w:ascii="Times New Roman" w:hAnsi="Times New Roman"/>
                <w:color w:val="000000"/>
              </w:rPr>
              <w:t>A</w:t>
            </w:r>
            <w:r w:rsidRPr="005C0E34">
              <w:rPr>
                <w:rFonts w:ascii="Times New Roman" w:hAnsi="Times New Roman"/>
                <w:color w:val="000000"/>
              </w:rPr>
              <w:t>.v</w:t>
            </w:r>
            <w:r w:rsidR="00570041">
              <w:rPr>
                <w:rFonts w:ascii="Times New Roman" w:hAnsi="Times New Roman"/>
                <w:color w:val="000000"/>
              </w:rPr>
              <w:t>2</w:t>
            </w:r>
            <w:r w:rsidRPr="005C0E34">
              <w:rPr>
                <w:rFonts w:ascii="Times New Roman" w:hAnsi="Times New Roman"/>
                <w:color w:val="000000"/>
              </w:rPr>
              <w:t xml:space="preserve">. </w:t>
            </w:r>
            <w:r w:rsidR="00570041" w:rsidRPr="00570041">
              <w:rPr>
                <w:rFonts w:ascii="Times New Roman" w:hAnsi="Times New Roman"/>
                <w:color w:val="000000"/>
              </w:rPr>
              <w:t xml:space="preserve">To rename the existing genus </w:t>
            </w:r>
            <w:r w:rsidR="00570041" w:rsidRPr="00570041">
              <w:rPr>
                <w:rFonts w:ascii="Times New Roman" w:hAnsi="Times New Roman"/>
                <w:i/>
                <w:color w:val="000000"/>
              </w:rPr>
              <w:t>Tectivirus</w:t>
            </w:r>
            <w:r w:rsidR="00570041" w:rsidRPr="00570041">
              <w:rPr>
                <w:rFonts w:ascii="Times New Roman" w:hAnsi="Times New Roman"/>
                <w:color w:val="000000"/>
              </w:rPr>
              <w:t xml:space="preserve"> (proposed new name </w:t>
            </w:r>
            <w:r w:rsidR="00570041" w:rsidRPr="00570041">
              <w:rPr>
                <w:rFonts w:ascii="Times New Roman" w:hAnsi="Times New Roman"/>
                <w:i/>
                <w:color w:val="000000"/>
              </w:rPr>
              <w:t>Alphatectivirus</w:t>
            </w:r>
            <w:r w:rsidR="00570041" w:rsidRPr="00570041">
              <w:rPr>
                <w:rFonts w:ascii="Times New Roman" w:hAnsi="Times New Roman"/>
                <w:color w:val="000000"/>
              </w:rPr>
              <w:t xml:space="preserve">) in the family </w:t>
            </w:r>
            <w:r w:rsidR="00570041" w:rsidRPr="00570041">
              <w:rPr>
                <w:rFonts w:ascii="Times New Roman" w:hAnsi="Times New Roman"/>
                <w:i/>
                <w:color w:val="000000"/>
              </w:rPr>
              <w:t>Tectiviridae</w:t>
            </w:r>
            <w:r w:rsidR="00570041" w:rsidRPr="00570041">
              <w:rPr>
                <w:rFonts w:ascii="Times New Roman" w:hAnsi="Times New Roman"/>
                <w:color w:val="000000"/>
              </w:rPr>
              <w:t xml:space="preserve">, create a new genus, </w:t>
            </w:r>
            <w:r w:rsidR="00570041" w:rsidRPr="00570041">
              <w:rPr>
                <w:rFonts w:ascii="Times New Roman" w:hAnsi="Times New Roman"/>
                <w:i/>
                <w:color w:val="000000"/>
              </w:rPr>
              <w:t>Betatectivirus,</w:t>
            </w:r>
            <w:r w:rsidR="00570041" w:rsidRPr="00570041">
              <w:rPr>
                <w:rFonts w:ascii="Times New Roman" w:hAnsi="Times New Roman"/>
                <w:color w:val="000000"/>
              </w:rPr>
              <w:t xml:space="preserve"> and include three (3) new species.</w:t>
            </w:r>
            <w:r w:rsidRPr="005C0E34">
              <w:rPr>
                <w:rFonts w:ascii="Times New Roman" w:hAnsi="Times New Roman"/>
                <w:color w:val="000000"/>
              </w:rPr>
              <w:t xml:space="preserve"> International Committee on Taxonomy </w:t>
            </w:r>
            <w:r w:rsidR="00570041">
              <w:rPr>
                <w:rFonts w:ascii="Times New Roman" w:hAnsi="Times New Roman"/>
                <w:color w:val="000000"/>
              </w:rPr>
              <w:t>of</w:t>
            </w:r>
            <w:r w:rsidR="00570041" w:rsidRPr="005C0E34">
              <w:rPr>
                <w:rFonts w:ascii="Times New Roman" w:hAnsi="Times New Roman"/>
                <w:color w:val="000000"/>
              </w:rPr>
              <w:t xml:space="preserve"> </w:t>
            </w:r>
            <w:r w:rsidRPr="005C0E34">
              <w:rPr>
                <w:rFonts w:ascii="Times New Roman" w:hAnsi="Times New Roman"/>
                <w:color w:val="000000"/>
              </w:rPr>
              <w:t xml:space="preserve">Viruses (ICTV). 2017. </w:t>
            </w:r>
            <w:r w:rsidR="00570041">
              <w:rPr>
                <w:rFonts w:ascii="Times New Roman" w:hAnsi="Times New Roman"/>
                <w:color w:val="000000"/>
              </w:rPr>
              <w:t>A</w:t>
            </w:r>
            <w:r w:rsidRPr="005C0E34">
              <w:rPr>
                <w:rFonts w:ascii="Times New Roman" w:hAnsi="Times New Roman"/>
                <w:color w:val="000000"/>
              </w:rPr>
              <w:t xml:space="preserve">vailable online: </w:t>
            </w:r>
          </w:p>
          <w:p w14:paraId="44979549" w14:textId="124D14AD" w:rsidR="00570041" w:rsidRDefault="009E0A25" w:rsidP="00570041">
            <w:pPr>
              <w:pStyle w:val="BodyTextIndent"/>
              <w:ind w:left="567" w:firstLine="45"/>
              <w:rPr>
                <w:rFonts w:ascii="Times New Roman" w:hAnsi="Times New Roman"/>
                <w:color w:val="000000"/>
              </w:rPr>
            </w:pPr>
            <w:hyperlink r:id="rId15" w:history="1">
              <w:r w:rsidR="00570041" w:rsidRPr="00F44B55">
                <w:rPr>
                  <w:rStyle w:val="Hyperlink"/>
                  <w:rFonts w:ascii="Times New Roman" w:hAnsi="Times New Roman"/>
                </w:rPr>
                <w:t>https://talk.ictvonline.org/taxonomy/p/taxonomy-history?taxnode_id=20175073</w:t>
              </w:r>
            </w:hyperlink>
          </w:p>
          <w:p w14:paraId="4E31F19D" w14:textId="16ECC335" w:rsidR="005C0E34" w:rsidRPr="00080C3A" w:rsidRDefault="00570041" w:rsidP="009C76C0">
            <w:pPr>
              <w:pStyle w:val="BodyTextIndent"/>
              <w:ind w:left="567" w:hanging="567"/>
              <w:rPr>
                <w:rFonts w:ascii="Times New Roman" w:hAnsi="Times New Roman"/>
                <w:color w:val="000000"/>
              </w:rPr>
            </w:pPr>
            <w:r w:rsidDel="00570041">
              <w:t xml:space="preserve"> </w:t>
            </w:r>
            <w:r w:rsidR="00345A60">
              <w:rPr>
                <w:rFonts w:ascii="Times New Roman" w:hAnsi="Times New Roman"/>
                <w:color w:val="000000"/>
              </w:rPr>
              <w:t xml:space="preserve">[4] </w:t>
            </w:r>
            <w:r w:rsidR="00345A60" w:rsidRPr="00345A60">
              <w:rPr>
                <w:rFonts w:ascii="Times New Roman" w:hAnsi="Times New Roman"/>
                <w:color w:val="000000"/>
              </w:rPr>
              <w:t>Guindon S, Dufayard JF, Lefort V, Anisimova M, Hordijk W, Gascuel O.</w:t>
            </w:r>
            <w:r w:rsidR="00345A60">
              <w:rPr>
                <w:rFonts w:ascii="Times New Roman" w:hAnsi="Times New Roman"/>
                <w:color w:val="000000"/>
              </w:rPr>
              <w:t xml:space="preserve"> </w:t>
            </w:r>
            <w:r w:rsidR="00345A60" w:rsidRPr="00345A60">
              <w:rPr>
                <w:rFonts w:ascii="Times New Roman" w:hAnsi="Times New Roman"/>
                <w:color w:val="000000"/>
              </w:rPr>
              <w:t>New algorithms and methods to estimate maximum-likelihood phylogenies: assessing the performance of PhyML 3.0.</w:t>
            </w:r>
            <w:r w:rsidR="00345A60">
              <w:rPr>
                <w:rFonts w:ascii="Times New Roman" w:hAnsi="Times New Roman"/>
                <w:color w:val="000000"/>
              </w:rPr>
              <w:t xml:space="preserve"> </w:t>
            </w:r>
            <w:r w:rsidR="00345A60" w:rsidRPr="00345A60">
              <w:rPr>
                <w:rFonts w:ascii="Times New Roman" w:hAnsi="Times New Roman"/>
                <w:color w:val="000000"/>
              </w:rPr>
              <w:t>Syst Biol. 2010;</w:t>
            </w:r>
            <w:r w:rsidR="00345A60">
              <w:rPr>
                <w:rFonts w:ascii="Times New Roman" w:hAnsi="Times New Roman"/>
                <w:color w:val="000000"/>
              </w:rPr>
              <w:t xml:space="preserve"> </w:t>
            </w:r>
            <w:r w:rsidR="00345A60" w:rsidRPr="00345A60">
              <w:rPr>
                <w:rFonts w:ascii="Times New Roman" w:hAnsi="Times New Roman"/>
                <w:color w:val="000000"/>
              </w:rPr>
              <w:t>59(3):307-21.</w:t>
            </w:r>
          </w:p>
        </w:tc>
      </w:tr>
    </w:tbl>
    <w:p w14:paraId="7277A8A5" w14:textId="77777777" w:rsidR="008E736E" w:rsidRPr="00080C3A" w:rsidRDefault="008E736E" w:rsidP="00AC0E72"/>
    <w:p w14:paraId="738DBD58" w14:textId="77777777" w:rsidR="00CE0DE4" w:rsidRPr="00991A82" w:rsidRDefault="007B0D83" w:rsidP="00991A82">
      <w:pPr>
        <w:pStyle w:val="BodyTextIndent"/>
        <w:ind w:left="0" w:firstLine="0"/>
        <w:rPr>
          <w:rFonts w:ascii="Times New Roman" w:hAnsi="Times New Roman"/>
          <w:color w:val="000000"/>
          <w:sz w:val="22"/>
          <w:szCs w:val="22"/>
        </w:rPr>
      </w:pPr>
      <w:r>
        <w:rPr>
          <w:noProof/>
          <w:lang w:val="en-GB"/>
        </w:rPr>
        <mc:AlternateContent>
          <mc:Choice Requires="wps">
            <w:drawing>
              <wp:anchor distT="0" distB="0" distL="114300" distR="114300" simplePos="0" relativeHeight="251656704" behindDoc="0" locked="0" layoutInCell="1" allowOverlap="1" wp14:anchorId="626C8D09" wp14:editId="796B7CE4">
                <wp:simplePos x="0" y="0"/>
                <wp:positionH relativeFrom="column">
                  <wp:posOffset>0</wp:posOffset>
                </wp:positionH>
                <wp:positionV relativeFrom="paragraph">
                  <wp:posOffset>196850</wp:posOffset>
                </wp:positionV>
                <wp:extent cx="5600700" cy="0"/>
                <wp:effectExtent l="19050" t="15875" r="19050" b="1270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88A3850" id="Line 1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" strokecolor="navy" strokeweight="2pt"/>
            </w:pict>
          </mc:Fallback>
        </mc:AlternateContent>
      </w:r>
    </w:p>
    <w:sectPr w:rsidR="00CE0DE4" w:rsidRPr="00991A82" w:rsidSect="00991A82">
      <w:headerReference w:type="default" r:id="rId16"/>
      <w:footerReference w:type="default" r:id="rId17"/>
      <w:type w:val="continuous"/>
      <w:pgSz w:w="11909" w:h="16834" w:code="9"/>
      <w:pgMar w:top="1296" w:right="1008" w:bottom="1440" w:left="1440" w:header="706" w:footer="706" w:gutter="0"/>
      <w:cols w:space="708"/>
      <w:formProt w:val="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E6EE2F" w16cid:durableId="1EB797EB"/>
  <w16cid:commentId w16cid:paraId="6DB8203A" w16cid:durableId="1EB80333"/>
  <w16cid:commentId w16cid:paraId="1CA2171D" w16cid:durableId="1EB804FA"/>
  <w16cid:commentId w16cid:paraId="21884186" w16cid:durableId="1EB80C32"/>
  <w16cid:commentId w16cid:paraId="1D0D835C" w16cid:durableId="1EB814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C05D1" w14:textId="77777777" w:rsidR="009E0A25" w:rsidRDefault="009E0A25" w:rsidP="00B47513">
      <w:pPr>
        <w:pStyle w:val="Header"/>
      </w:pPr>
      <w:r>
        <w:separator/>
      </w:r>
    </w:p>
  </w:endnote>
  <w:endnote w:type="continuationSeparator" w:id="0">
    <w:p w14:paraId="3784D3B2" w14:textId="77777777" w:rsidR="009E0A25" w:rsidRDefault="009E0A25" w:rsidP="00B47513">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A885A" w14:textId="27BF8246" w:rsidR="00530EFE" w:rsidRPr="002E52B9" w:rsidRDefault="00530EFE"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AA2C52">
      <w:rPr>
        <w:rFonts w:ascii="Arial" w:hAnsi="Arial" w:cs="Arial"/>
        <w:noProof/>
        <w:color w:val="808080"/>
        <w:sz w:val="20"/>
      </w:rPr>
      <w:t>2</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AA2C52">
      <w:rPr>
        <w:rFonts w:ascii="Arial" w:hAnsi="Arial" w:cs="Arial"/>
        <w:noProof/>
        <w:color w:val="808080"/>
        <w:sz w:val="20"/>
      </w:rPr>
      <w:t>4</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63356" w14:textId="77777777" w:rsidR="009E0A25" w:rsidRDefault="009E0A25" w:rsidP="00B47513">
      <w:pPr>
        <w:pStyle w:val="Header"/>
      </w:pPr>
      <w:r>
        <w:separator/>
      </w:r>
    </w:p>
  </w:footnote>
  <w:footnote w:type="continuationSeparator" w:id="0">
    <w:p w14:paraId="2913384B" w14:textId="77777777" w:rsidR="009E0A25" w:rsidRDefault="009E0A25" w:rsidP="00B47513">
      <w:pPr>
        <w:pStyle w:val="Head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DD38A" w14:textId="77777777" w:rsidR="007E6C07" w:rsidRPr="00F369A4" w:rsidRDefault="00DC2ACB" w:rsidP="00802D02">
    <w:pPr>
      <w:pStyle w:val="Header"/>
      <w:jc w:val="right"/>
      <w:rPr>
        <w:rFonts w:ascii="Calibri" w:hAnsi="Calibri"/>
        <w:sz w:val="22"/>
        <w:szCs w:val="22"/>
      </w:rPr>
    </w:pPr>
    <w:r>
      <w:rPr>
        <w:rFonts w:ascii="Calibri" w:hAnsi="Calibri"/>
        <w:sz w:val="22"/>
        <w:szCs w:val="22"/>
      </w:rPr>
      <w:t xml:space="preserve">February </w:t>
    </w:r>
    <w:r w:rsidR="007E6C07"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785"/>
    <w:rsid w:val="00004F39"/>
    <w:rsid w:val="00016519"/>
    <w:rsid w:val="00024051"/>
    <w:rsid w:val="000315E5"/>
    <w:rsid w:val="00034DE5"/>
    <w:rsid w:val="000360CB"/>
    <w:rsid w:val="000420CB"/>
    <w:rsid w:val="0004304B"/>
    <w:rsid w:val="00044C68"/>
    <w:rsid w:val="00072CC5"/>
    <w:rsid w:val="00080C3A"/>
    <w:rsid w:val="00093DD3"/>
    <w:rsid w:val="000A6DE3"/>
    <w:rsid w:val="000A7F1C"/>
    <w:rsid w:val="000B7774"/>
    <w:rsid w:val="000B778C"/>
    <w:rsid w:val="000C0126"/>
    <w:rsid w:val="000C32A9"/>
    <w:rsid w:val="000D2F03"/>
    <w:rsid w:val="000D33CD"/>
    <w:rsid w:val="000F5890"/>
    <w:rsid w:val="000F5A87"/>
    <w:rsid w:val="00100092"/>
    <w:rsid w:val="00104A4B"/>
    <w:rsid w:val="0010595F"/>
    <w:rsid w:val="00114BD4"/>
    <w:rsid w:val="0012008F"/>
    <w:rsid w:val="0012796D"/>
    <w:rsid w:val="0015160F"/>
    <w:rsid w:val="001551A8"/>
    <w:rsid w:val="001578A6"/>
    <w:rsid w:val="001664DF"/>
    <w:rsid w:val="001705E3"/>
    <w:rsid w:val="0017329D"/>
    <w:rsid w:val="00173983"/>
    <w:rsid w:val="0017739A"/>
    <w:rsid w:val="001811B7"/>
    <w:rsid w:val="00185699"/>
    <w:rsid w:val="00192DC9"/>
    <w:rsid w:val="001946B2"/>
    <w:rsid w:val="001C5EE1"/>
    <w:rsid w:val="001E59C1"/>
    <w:rsid w:val="001E7FD5"/>
    <w:rsid w:val="001F4031"/>
    <w:rsid w:val="00202BB3"/>
    <w:rsid w:val="00210B49"/>
    <w:rsid w:val="00212269"/>
    <w:rsid w:val="002129A8"/>
    <w:rsid w:val="0022566F"/>
    <w:rsid w:val="00233237"/>
    <w:rsid w:val="002361B7"/>
    <w:rsid w:val="00236673"/>
    <w:rsid w:val="00246A86"/>
    <w:rsid w:val="00252570"/>
    <w:rsid w:val="002539A7"/>
    <w:rsid w:val="00260377"/>
    <w:rsid w:val="00263E48"/>
    <w:rsid w:val="00265E5A"/>
    <w:rsid w:val="002732D1"/>
    <w:rsid w:val="00275425"/>
    <w:rsid w:val="002777A3"/>
    <w:rsid w:val="0028367A"/>
    <w:rsid w:val="00283FE0"/>
    <w:rsid w:val="0028627E"/>
    <w:rsid w:val="00291213"/>
    <w:rsid w:val="002930D6"/>
    <w:rsid w:val="00295698"/>
    <w:rsid w:val="00296EA3"/>
    <w:rsid w:val="002978A6"/>
    <w:rsid w:val="002A4018"/>
    <w:rsid w:val="002A7D6D"/>
    <w:rsid w:val="002B75AB"/>
    <w:rsid w:val="002E36D5"/>
    <w:rsid w:val="002F389E"/>
    <w:rsid w:val="00304104"/>
    <w:rsid w:val="00305534"/>
    <w:rsid w:val="00306A5E"/>
    <w:rsid w:val="00315AEE"/>
    <w:rsid w:val="00342A81"/>
    <w:rsid w:val="00342D4D"/>
    <w:rsid w:val="003433D8"/>
    <w:rsid w:val="0034563C"/>
    <w:rsid w:val="00345A60"/>
    <w:rsid w:val="003538F3"/>
    <w:rsid w:val="003563FA"/>
    <w:rsid w:val="003623D9"/>
    <w:rsid w:val="00364F36"/>
    <w:rsid w:val="003676E2"/>
    <w:rsid w:val="00377A06"/>
    <w:rsid w:val="003A0BE4"/>
    <w:rsid w:val="003A48CF"/>
    <w:rsid w:val="003A4E70"/>
    <w:rsid w:val="003A6C76"/>
    <w:rsid w:val="003B1954"/>
    <w:rsid w:val="003B7125"/>
    <w:rsid w:val="003D08E5"/>
    <w:rsid w:val="003E02C3"/>
    <w:rsid w:val="003E3AB2"/>
    <w:rsid w:val="003E7EEC"/>
    <w:rsid w:val="003F0180"/>
    <w:rsid w:val="00400C3B"/>
    <w:rsid w:val="00402B0B"/>
    <w:rsid w:val="00404ECA"/>
    <w:rsid w:val="00413670"/>
    <w:rsid w:val="004152C9"/>
    <w:rsid w:val="00422FF0"/>
    <w:rsid w:val="004435EC"/>
    <w:rsid w:val="00444E1E"/>
    <w:rsid w:val="00447321"/>
    <w:rsid w:val="0044774D"/>
    <w:rsid w:val="00447B33"/>
    <w:rsid w:val="004710EC"/>
    <w:rsid w:val="0047500D"/>
    <w:rsid w:val="004937AC"/>
    <w:rsid w:val="00494623"/>
    <w:rsid w:val="004A350D"/>
    <w:rsid w:val="004A3DAC"/>
    <w:rsid w:val="004A6F2D"/>
    <w:rsid w:val="004B0C50"/>
    <w:rsid w:val="004B5D02"/>
    <w:rsid w:val="004C30A2"/>
    <w:rsid w:val="004C7BA9"/>
    <w:rsid w:val="004D1DAD"/>
    <w:rsid w:val="004D21E1"/>
    <w:rsid w:val="004D236F"/>
    <w:rsid w:val="004D5AE7"/>
    <w:rsid w:val="004D748F"/>
    <w:rsid w:val="004F23EA"/>
    <w:rsid w:val="004F771E"/>
    <w:rsid w:val="00500488"/>
    <w:rsid w:val="0050228B"/>
    <w:rsid w:val="00503E8B"/>
    <w:rsid w:val="00505D9F"/>
    <w:rsid w:val="0050662A"/>
    <w:rsid w:val="00516D9F"/>
    <w:rsid w:val="005201AD"/>
    <w:rsid w:val="005206DD"/>
    <w:rsid w:val="00521073"/>
    <w:rsid w:val="00522E71"/>
    <w:rsid w:val="00530EFE"/>
    <w:rsid w:val="00534EED"/>
    <w:rsid w:val="005368BD"/>
    <w:rsid w:val="005557FC"/>
    <w:rsid w:val="00570041"/>
    <w:rsid w:val="00572D74"/>
    <w:rsid w:val="00581ED1"/>
    <w:rsid w:val="00590D25"/>
    <w:rsid w:val="005929A4"/>
    <w:rsid w:val="005953F1"/>
    <w:rsid w:val="005B600C"/>
    <w:rsid w:val="005C0E34"/>
    <w:rsid w:val="005D0BFD"/>
    <w:rsid w:val="005D19C9"/>
    <w:rsid w:val="005D7EC4"/>
    <w:rsid w:val="005D7F24"/>
    <w:rsid w:val="005F4309"/>
    <w:rsid w:val="005F53C1"/>
    <w:rsid w:val="00603CFD"/>
    <w:rsid w:val="006071CA"/>
    <w:rsid w:val="0061592E"/>
    <w:rsid w:val="00616487"/>
    <w:rsid w:val="00617B84"/>
    <w:rsid w:val="00623274"/>
    <w:rsid w:val="00633947"/>
    <w:rsid w:val="00635404"/>
    <w:rsid w:val="00636B14"/>
    <w:rsid w:val="00637004"/>
    <w:rsid w:val="00637223"/>
    <w:rsid w:val="00650171"/>
    <w:rsid w:val="00682C6F"/>
    <w:rsid w:val="00692BE3"/>
    <w:rsid w:val="0069409C"/>
    <w:rsid w:val="006A1735"/>
    <w:rsid w:val="006B2EE7"/>
    <w:rsid w:val="006C4A0C"/>
    <w:rsid w:val="006D1B4E"/>
    <w:rsid w:val="006D59EF"/>
    <w:rsid w:val="006E0B7B"/>
    <w:rsid w:val="006F1ADE"/>
    <w:rsid w:val="006F44A4"/>
    <w:rsid w:val="007016DD"/>
    <w:rsid w:val="00702CCD"/>
    <w:rsid w:val="00704198"/>
    <w:rsid w:val="007135C0"/>
    <w:rsid w:val="00715B64"/>
    <w:rsid w:val="00720D17"/>
    <w:rsid w:val="0072339F"/>
    <w:rsid w:val="00724281"/>
    <w:rsid w:val="00724490"/>
    <w:rsid w:val="00736F49"/>
    <w:rsid w:val="0073793D"/>
    <w:rsid w:val="00746025"/>
    <w:rsid w:val="00751194"/>
    <w:rsid w:val="00752D7B"/>
    <w:rsid w:val="007602A2"/>
    <w:rsid w:val="0076759D"/>
    <w:rsid w:val="00774CB4"/>
    <w:rsid w:val="007772C2"/>
    <w:rsid w:val="007878DB"/>
    <w:rsid w:val="00792B22"/>
    <w:rsid w:val="0079318D"/>
    <w:rsid w:val="007A3019"/>
    <w:rsid w:val="007A5735"/>
    <w:rsid w:val="007B0D83"/>
    <w:rsid w:val="007C059C"/>
    <w:rsid w:val="007C1657"/>
    <w:rsid w:val="007C793A"/>
    <w:rsid w:val="007C7E0E"/>
    <w:rsid w:val="007D246C"/>
    <w:rsid w:val="007D4C57"/>
    <w:rsid w:val="007D6DB6"/>
    <w:rsid w:val="007E6C07"/>
    <w:rsid w:val="007F5109"/>
    <w:rsid w:val="0080060B"/>
    <w:rsid w:val="00800BFD"/>
    <w:rsid w:val="00801148"/>
    <w:rsid w:val="00802D02"/>
    <w:rsid w:val="008071B6"/>
    <w:rsid w:val="008277F3"/>
    <w:rsid w:val="00830785"/>
    <w:rsid w:val="00834F12"/>
    <w:rsid w:val="00835B67"/>
    <w:rsid w:val="0084139F"/>
    <w:rsid w:val="008418CD"/>
    <w:rsid w:val="008442CB"/>
    <w:rsid w:val="008563BE"/>
    <w:rsid w:val="008655D6"/>
    <w:rsid w:val="00872088"/>
    <w:rsid w:val="008762E5"/>
    <w:rsid w:val="00890FAF"/>
    <w:rsid w:val="00891C67"/>
    <w:rsid w:val="008A612E"/>
    <w:rsid w:val="008B6D5E"/>
    <w:rsid w:val="008C2CC4"/>
    <w:rsid w:val="008C7B86"/>
    <w:rsid w:val="008E10B7"/>
    <w:rsid w:val="008E2333"/>
    <w:rsid w:val="008E4E0F"/>
    <w:rsid w:val="008E736E"/>
    <w:rsid w:val="008F03D2"/>
    <w:rsid w:val="008F1758"/>
    <w:rsid w:val="008F2BEE"/>
    <w:rsid w:val="008F4957"/>
    <w:rsid w:val="008F5FB1"/>
    <w:rsid w:val="008F6DE4"/>
    <w:rsid w:val="009062EF"/>
    <w:rsid w:val="00926A4D"/>
    <w:rsid w:val="009320C8"/>
    <w:rsid w:val="0093622B"/>
    <w:rsid w:val="009551D6"/>
    <w:rsid w:val="009564E3"/>
    <w:rsid w:val="0096368E"/>
    <w:rsid w:val="00963FA9"/>
    <w:rsid w:val="00965805"/>
    <w:rsid w:val="00973680"/>
    <w:rsid w:val="009761BE"/>
    <w:rsid w:val="009834EF"/>
    <w:rsid w:val="009845DD"/>
    <w:rsid w:val="009864D7"/>
    <w:rsid w:val="00986F6A"/>
    <w:rsid w:val="00987C77"/>
    <w:rsid w:val="009903E2"/>
    <w:rsid w:val="00991A82"/>
    <w:rsid w:val="0099268F"/>
    <w:rsid w:val="00995425"/>
    <w:rsid w:val="009A3DE5"/>
    <w:rsid w:val="009A6C98"/>
    <w:rsid w:val="009B1712"/>
    <w:rsid w:val="009C1EBB"/>
    <w:rsid w:val="009C463B"/>
    <w:rsid w:val="009C76C0"/>
    <w:rsid w:val="009D29FA"/>
    <w:rsid w:val="009E036E"/>
    <w:rsid w:val="009E0A25"/>
    <w:rsid w:val="009F32F7"/>
    <w:rsid w:val="009F602F"/>
    <w:rsid w:val="00A03AA4"/>
    <w:rsid w:val="00A050C2"/>
    <w:rsid w:val="00A11ACF"/>
    <w:rsid w:val="00A26EB0"/>
    <w:rsid w:val="00A27567"/>
    <w:rsid w:val="00A36B4E"/>
    <w:rsid w:val="00A40312"/>
    <w:rsid w:val="00A52629"/>
    <w:rsid w:val="00A56BC8"/>
    <w:rsid w:val="00A724DF"/>
    <w:rsid w:val="00A747D9"/>
    <w:rsid w:val="00A77BC1"/>
    <w:rsid w:val="00A80214"/>
    <w:rsid w:val="00A84D14"/>
    <w:rsid w:val="00A91DF9"/>
    <w:rsid w:val="00AA1E2F"/>
    <w:rsid w:val="00AA2C52"/>
    <w:rsid w:val="00AA308A"/>
    <w:rsid w:val="00AA3952"/>
    <w:rsid w:val="00AA601F"/>
    <w:rsid w:val="00AB44B3"/>
    <w:rsid w:val="00AC0E72"/>
    <w:rsid w:val="00AD11F4"/>
    <w:rsid w:val="00AD3814"/>
    <w:rsid w:val="00AD65E6"/>
    <w:rsid w:val="00AE2858"/>
    <w:rsid w:val="00AF63CD"/>
    <w:rsid w:val="00AF65C7"/>
    <w:rsid w:val="00B04CD6"/>
    <w:rsid w:val="00B069B6"/>
    <w:rsid w:val="00B12A01"/>
    <w:rsid w:val="00B12D76"/>
    <w:rsid w:val="00B216A1"/>
    <w:rsid w:val="00B2254A"/>
    <w:rsid w:val="00B34F6A"/>
    <w:rsid w:val="00B45888"/>
    <w:rsid w:val="00B47513"/>
    <w:rsid w:val="00B5488B"/>
    <w:rsid w:val="00B613A5"/>
    <w:rsid w:val="00B63708"/>
    <w:rsid w:val="00B845E3"/>
    <w:rsid w:val="00B84AA0"/>
    <w:rsid w:val="00B85D62"/>
    <w:rsid w:val="00B86BE8"/>
    <w:rsid w:val="00B91D87"/>
    <w:rsid w:val="00B94E8E"/>
    <w:rsid w:val="00BA3080"/>
    <w:rsid w:val="00BA62C0"/>
    <w:rsid w:val="00BB7D24"/>
    <w:rsid w:val="00BD4541"/>
    <w:rsid w:val="00BD47D7"/>
    <w:rsid w:val="00BE06F9"/>
    <w:rsid w:val="00BE18E9"/>
    <w:rsid w:val="00BF7AA8"/>
    <w:rsid w:val="00C06EE4"/>
    <w:rsid w:val="00C12C1B"/>
    <w:rsid w:val="00C15EC4"/>
    <w:rsid w:val="00C165C2"/>
    <w:rsid w:val="00C245DB"/>
    <w:rsid w:val="00C3224F"/>
    <w:rsid w:val="00C44DF4"/>
    <w:rsid w:val="00C46C65"/>
    <w:rsid w:val="00C55862"/>
    <w:rsid w:val="00C64F92"/>
    <w:rsid w:val="00C67A98"/>
    <w:rsid w:val="00C75039"/>
    <w:rsid w:val="00C762C9"/>
    <w:rsid w:val="00C80265"/>
    <w:rsid w:val="00C83376"/>
    <w:rsid w:val="00C94A0B"/>
    <w:rsid w:val="00CA56E9"/>
    <w:rsid w:val="00CB3A13"/>
    <w:rsid w:val="00CB434C"/>
    <w:rsid w:val="00CB7C39"/>
    <w:rsid w:val="00CE0DE4"/>
    <w:rsid w:val="00CE2AB3"/>
    <w:rsid w:val="00CE408B"/>
    <w:rsid w:val="00CE5ECF"/>
    <w:rsid w:val="00CF0A9B"/>
    <w:rsid w:val="00CF3890"/>
    <w:rsid w:val="00CF5168"/>
    <w:rsid w:val="00D0602A"/>
    <w:rsid w:val="00D10142"/>
    <w:rsid w:val="00D109E6"/>
    <w:rsid w:val="00D13294"/>
    <w:rsid w:val="00D15256"/>
    <w:rsid w:val="00D157F5"/>
    <w:rsid w:val="00D15A4D"/>
    <w:rsid w:val="00D1634C"/>
    <w:rsid w:val="00D16A8B"/>
    <w:rsid w:val="00D2300C"/>
    <w:rsid w:val="00D23CE8"/>
    <w:rsid w:val="00D45CE9"/>
    <w:rsid w:val="00D4648E"/>
    <w:rsid w:val="00D6107E"/>
    <w:rsid w:val="00D62298"/>
    <w:rsid w:val="00D70DF3"/>
    <w:rsid w:val="00D87539"/>
    <w:rsid w:val="00D90A1D"/>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E03681"/>
    <w:rsid w:val="00E11C94"/>
    <w:rsid w:val="00E11F4F"/>
    <w:rsid w:val="00E30A69"/>
    <w:rsid w:val="00E347C2"/>
    <w:rsid w:val="00E36F9D"/>
    <w:rsid w:val="00E4413A"/>
    <w:rsid w:val="00E51555"/>
    <w:rsid w:val="00E57A0B"/>
    <w:rsid w:val="00E60228"/>
    <w:rsid w:val="00E66C21"/>
    <w:rsid w:val="00E701BE"/>
    <w:rsid w:val="00E73F9A"/>
    <w:rsid w:val="00E946A5"/>
    <w:rsid w:val="00EA06D0"/>
    <w:rsid w:val="00EA1332"/>
    <w:rsid w:val="00EA5C82"/>
    <w:rsid w:val="00EA6CA5"/>
    <w:rsid w:val="00EB0413"/>
    <w:rsid w:val="00EB5BAF"/>
    <w:rsid w:val="00EC11F1"/>
    <w:rsid w:val="00EC4F18"/>
    <w:rsid w:val="00EF6615"/>
    <w:rsid w:val="00EF7D67"/>
    <w:rsid w:val="00F00D95"/>
    <w:rsid w:val="00F038BC"/>
    <w:rsid w:val="00F050DB"/>
    <w:rsid w:val="00F071D8"/>
    <w:rsid w:val="00F31A99"/>
    <w:rsid w:val="00F343F2"/>
    <w:rsid w:val="00F369A4"/>
    <w:rsid w:val="00F41198"/>
    <w:rsid w:val="00F41F8B"/>
    <w:rsid w:val="00F42095"/>
    <w:rsid w:val="00F44D53"/>
    <w:rsid w:val="00F4759E"/>
    <w:rsid w:val="00F51B71"/>
    <w:rsid w:val="00F60789"/>
    <w:rsid w:val="00F60BB5"/>
    <w:rsid w:val="00F657DF"/>
    <w:rsid w:val="00F66DA7"/>
    <w:rsid w:val="00F723CF"/>
    <w:rsid w:val="00F74991"/>
    <w:rsid w:val="00F74D87"/>
    <w:rsid w:val="00F80D0D"/>
    <w:rsid w:val="00F81990"/>
    <w:rsid w:val="00F85A70"/>
    <w:rsid w:val="00F912D1"/>
    <w:rsid w:val="00F93153"/>
    <w:rsid w:val="00F95CC4"/>
    <w:rsid w:val="00FA2D02"/>
    <w:rsid w:val="00FA43E3"/>
    <w:rsid w:val="00FC22F7"/>
    <w:rsid w:val="00FC636D"/>
    <w:rsid w:val="00FC66D8"/>
    <w:rsid w:val="00FD1731"/>
    <w:rsid w:val="00FE11B0"/>
    <w:rsid w:val="00FF1729"/>
    <w:rsid w:val="00FF2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5301C"/>
  <w15:docId w15:val="{A8911814-0750-4C1E-8986-EE627586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styleId="CommentReference">
    <w:name w:val="annotation reference"/>
    <w:basedOn w:val="DefaultParagraphFont"/>
    <w:uiPriority w:val="99"/>
    <w:semiHidden/>
    <w:unhideWhenUsed/>
    <w:rsid w:val="000B778C"/>
    <w:rPr>
      <w:sz w:val="16"/>
      <w:szCs w:val="16"/>
    </w:rPr>
  </w:style>
  <w:style w:type="paragraph" w:styleId="CommentText">
    <w:name w:val="annotation text"/>
    <w:basedOn w:val="Normal"/>
    <w:link w:val="CommentTextChar"/>
    <w:uiPriority w:val="99"/>
    <w:semiHidden/>
    <w:unhideWhenUsed/>
    <w:rsid w:val="000B778C"/>
    <w:rPr>
      <w:sz w:val="20"/>
      <w:szCs w:val="20"/>
    </w:rPr>
  </w:style>
  <w:style w:type="character" w:customStyle="1" w:styleId="CommentTextChar">
    <w:name w:val="Comment Text Char"/>
    <w:basedOn w:val="DefaultParagraphFont"/>
    <w:link w:val="CommentText"/>
    <w:uiPriority w:val="99"/>
    <w:semiHidden/>
    <w:rsid w:val="000B778C"/>
  </w:style>
  <w:style w:type="paragraph" w:styleId="CommentSubject">
    <w:name w:val="annotation subject"/>
    <w:basedOn w:val="CommentText"/>
    <w:next w:val="CommentText"/>
    <w:link w:val="CommentSubjectChar"/>
    <w:uiPriority w:val="99"/>
    <w:semiHidden/>
    <w:unhideWhenUsed/>
    <w:rsid w:val="000B778C"/>
    <w:rPr>
      <w:b/>
      <w:bCs/>
    </w:rPr>
  </w:style>
  <w:style w:type="character" w:customStyle="1" w:styleId="CommentSubjectChar">
    <w:name w:val="Comment Subject Char"/>
    <w:basedOn w:val="CommentTextChar"/>
    <w:link w:val="CommentSubject"/>
    <w:uiPriority w:val="99"/>
    <w:semiHidden/>
    <w:rsid w:val="000B778C"/>
    <w:rPr>
      <w:b/>
      <w:bCs/>
    </w:rPr>
  </w:style>
  <w:style w:type="character" w:customStyle="1" w:styleId="UnresolvedMention">
    <w:name w:val="Unresolved Mention"/>
    <w:basedOn w:val="DefaultParagraphFont"/>
    <w:uiPriority w:val="99"/>
    <w:semiHidden/>
    <w:unhideWhenUsed/>
    <w:rsid w:val="00570041"/>
    <w:rPr>
      <w:color w:val="808080"/>
      <w:shd w:val="clear" w:color="auto" w:fill="E6E6E6"/>
    </w:rPr>
  </w:style>
  <w:style w:type="paragraph" w:styleId="Revision">
    <w:name w:val="Revision"/>
    <w:hidden/>
    <w:uiPriority w:val="99"/>
    <w:semiHidden/>
    <w:rsid w:val="00B475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165518">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299916273">
      <w:bodyDiv w:val="1"/>
      <w:marLeft w:val="0"/>
      <w:marRight w:val="0"/>
      <w:marTop w:val="0"/>
      <w:marBottom w:val="0"/>
      <w:divBdr>
        <w:top w:val="none" w:sz="0" w:space="0" w:color="auto"/>
        <w:left w:val="none" w:sz="0" w:space="0" w:color="auto"/>
        <w:bottom w:val="none" w:sz="0" w:space="0" w:color="auto"/>
        <w:right w:val="none" w:sz="0" w:space="0" w:color="auto"/>
      </w:divBdr>
    </w:div>
    <w:div w:id="1312566234">
      <w:bodyDiv w:val="1"/>
      <w:marLeft w:val="0"/>
      <w:marRight w:val="0"/>
      <w:marTop w:val="0"/>
      <w:marBottom w:val="0"/>
      <w:divBdr>
        <w:top w:val="none" w:sz="0" w:space="0" w:color="auto"/>
        <w:left w:val="none" w:sz="0" w:space="0" w:color="auto"/>
        <w:bottom w:val="none" w:sz="0" w:space="0" w:color="auto"/>
        <w:right w:val="none" w:sz="0" w:space="0" w:color="auto"/>
      </w:divBdr>
    </w:div>
    <w:div w:id="185410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upovic@pasteur.fr" TargetMode="External"/><Relationship Id="rId13" Type="http://schemas.openxmlformats.org/officeDocument/2006/relationships/hyperlink" Target="https://victor.dsmz.d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talk.ictvonline.org/taxonomy/p/taxonomy-history?taxnode_id=20175073" TargetMode="External"/><Relationship Id="rId10" Type="http://schemas.openxmlformats.org/officeDocument/2006/relationships/hyperlink" Target="http://www.ictvonline.org/subcommittees.as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lehenaff@enscbp.fr"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8908</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Andrew King</cp:lastModifiedBy>
  <cp:revision>2</cp:revision>
  <cp:lastPrinted>2017-01-11T11:49:00Z</cp:lastPrinted>
  <dcterms:created xsi:type="dcterms:W3CDTF">2018-05-30T20:22:00Z</dcterms:created>
  <dcterms:modified xsi:type="dcterms:W3CDTF">2018-05-30T20:22:00Z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