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0695C252" w:rsidR="006D1B4E" w:rsidRPr="009320C8" w:rsidRDefault="00B92212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B92212">
              <w:rPr>
                <w:rFonts w:ascii="Arial" w:hAnsi="Arial" w:cs="Arial"/>
                <w:b/>
                <w:i/>
                <w:sz w:val="36"/>
                <w:szCs w:val="36"/>
              </w:rPr>
              <w:t>2018.054B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4F8E88A1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86150A" w:rsidRPr="0086150A">
              <w:rPr>
                <w:rFonts w:ascii="Arial" w:hAnsi="Arial" w:cs="Arial"/>
                <w:b/>
                <w:i/>
              </w:rPr>
              <w:t>Popoffvirus</w:t>
            </w:r>
            <w:r w:rsidR="0086150A">
              <w:rPr>
                <w:rFonts w:ascii="Arial" w:hAnsi="Arial" w:cs="Arial"/>
                <w:b/>
              </w:rPr>
              <w:t xml:space="preserve">, containing a single species in the </w:t>
            </w:r>
            <w:r w:rsidR="00817F5A">
              <w:rPr>
                <w:rFonts w:ascii="Arial" w:hAnsi="Arial" w:cs="Arial"/>
                <w:b/>
              </w:rPr>
              <w:t>f</w:t>
            </w:r>
            <w:bookmarkStart w:id="4" w:name="_GoBack"/>
            <w:bookmarkEnd w:id="4"/>
            <w:r w:rsidR="0086150A">
              <w:rPr>
                <w:rFonts w:ascii="Arial" w:hAnsi="Arial" w:cs="Arial"/>
                <w:b/>
              </w:rPr>
              <w:t xml:space="preserve">amily </w:t>
            </w:r>
            <w:r w:rsidR="0086150A" w:rsidRPr="0086150A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M. </w:t>
            </w:r>
            <w:proofErr w:type="gramStart"/>
            <w:r>
              <w:rPr>
                <w:rFonts w:ascii="Arial" w:hAnsi="Arial" w:cs="Arial"/>
                <w:color w:val="000000"/>
              </w:rPr>
              <w:t>Kropinski  Phage.Canada@gmail.com</w:t>
            </w:r>
            <w:proofErr w:type="gramEnd"/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5F832FAA" w:rsidR="00422FF0" w:rsidRPr="009320C8" w:rsidRDefault="00B9221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63C4657E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8615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Start"/>
            <w:r w:rsidR="00B92212" w:rsidRPr="00B92212">
              <w:rPr>
                <w:rFonts w:ascii="Arial" w:hAnsi="Arial" w:cs="Arial"/>
                <w:b/>
                <w:sz w:val="22"/>
                <w:szCs w:val="22"/>
              </w:rPr>
              <w:t>2018.054B.N</w:t>
            </w:r>
            <w:proofErr w:type="gramEnd"/>
            <w:r w:rsidR="00B92212" w:rsidRPr="00B92212">
              <w:rPr>
                <w:rFonts w:ascii="Arial" w:hAnsi="Arial" w:cs="Arial"/>
                <w:b/>
                <w:sz w:val="22"/>
                <w:szCs w:val="22"/>
              </w:rPr>
              <w:t>.v1.Popoffvirus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325C3D4F" w:rsidR="00384F60" w:rsidRPr="0086150A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86150A">
        <w:rPr>
          <w:rFonts w:ascii="Arial" w:hAnsi="Arial" w:cs="Arial"/>
          <w:sz w:val="20"/>
          <w:szCs w:val="20"/>
          <w:lang w:val="en-GB"/>
        </w:rPr>
        <w:t xml:space="preserve">Named in honour of French scientist Michel Y. Popoff (d) formerly in the </w:t>
      </w:r>
      <w:r w:rsidR="0086150A" w:rsidRPr="0086150A">
        <w:rPr>
          <w:rFonts w:ascii="Arial" w:hAnsi="Arial" w:cs="Arial"/>
          <w:sz w:val="20"/>
          <w:szCs w:val="20"/>
          <w:lang w:val="en-GB"/>
        </w:rPr>
        <w:t>lnstitut Pasteur, Unit</w:t>
      </w:r>
      <w:r w:rsidR="0086150A">
        <w:rPr>
          <w:rFonts w:ascii="Arial" w:hAnsi="Arial" w:cs="Arial"/>
          <w:sz w:val="20"/>
          <w:szCs w:val="20"/>
          <w:lang w:val="en-GB"/>
        </w:rPr>
        <w:t>é</w:t>
      </w:r>
      <w:r w:rsidR="0086150A" w:rsidRPr="0086150A">
        <w:rPr>
          <w:rFonts w:ascii="Arial" w:hAnsi="Arial" w:cs="Arial"/>
          <w:sz w:val="20"/>
          <w:szCs w:val="20"/>
          <w:lang w:val="en-GB"/>
        </w:rPr>
        <w:t xml:space="preserve"> des Ent</w:t>
      </w:r>
      <w:r w:rsidR="0086150A">
        <w:rPr>
          <w:rFonts w:ascii="Arial" w:hAnsi="Arial" w:cs="Arial"/>
          <w:sz w:val="20"/>
          <w:szCs w:val="20"/>
          <w:lang w:val="en-GB"/>
        </w:rPr>
        <w:t>é</w:t>
      </w:r>
      <w:r w:rsidR="0086150A" w:rsidRPr="0086150A">
        <w:rPr>
          <w:rFonts w:ascii="Arial" w:hAnsi="Arial" w:cs="Arial"/>
          <w:sz w:val="20"/>
          <w:szCs w:val="20"/>
          <w:lang w:val="en-GB"/>
        </w:rPr>
        <w:t>robacteries</w:t>
      </w:r>
      <w:r w:rsidR="0086150A">
        <w:rPr>
          <w:rFonts w:ascii="Arial" w:hAnsi="Arial" w:cs="Arial"/>
          <w:sz w:val="20"/>
          <w:szCs w:val="20"/>
          <w:lang w:val="en-GB"/>
        </w:rPr>
        <w:t xml:space="preserve"> who isolated Aeromonas phage 56.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0A118E95" w:rsidR="006C4A0C" w:rsidRPr="00945829" w:rsidRDefault="009A6F42" w:rsidP="00374F33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945829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45829">
        <w:rPr>
          <w:rFonts w:ascii="Arial" w:hAnsi="Arial" w:cs="Arial"/>
          <w:sz w:val="20"/>
          <w:szCs w:val="20"/>
          <w:lang w:val="en-GB"/>
        </w:rPr>
        <w:t xml:space="preserve">Aeromonas 56 was isolated by Popoff and Vieu [1] from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Lake of Bois de Vincennes, near Paris, France.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 At that time Popoff was associated with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Laboratoire d'Ichthyopathologie,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Station de virologie et d\'immunologie,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INRA,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Thiverval-Grignon,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</w:t>
      </w:r>
      <w:r w:rsidR="00945829" w:rsidRPr="00945829">
        <w:rPr>
          <w:rFonts w:ascii="Arial" w:hAnsi="Arial" w:cs="Arial"/>
          <w:sz w:val="20"/>
          <w:szCs w:val="20"/>
          <w:lang w:val="en-GB"/>
        </w:rPr>
        <w:t>France.</w:t>
      </w:r>
      <w:r w:rsidR="00945829">
        <w:rPr>
          <w:rFonts w:ascii="Arial" w:hAnsi="Arial" w:cs="Arial"/>
          <w:sz w:val="20"/>
          <w:szCs w:val="20"/>
          <w:lang w:val="en-GB"/>
        </w:rPr>
        <w:t xml:space="preserve">  </w:t>
      </w:r>
      <w:r w:rsidR="00E76B18">
        <w:rPr>
          <w:rFonts w:ascii="Arial" w:hAnsi="Arial" w:cs="Arial"/>
          <w:sz w:val="20"/>
          <w:szCs w:val="20"/>
          <w:lang w:val="en-GB"/>
        </w:rPr>
        <w:t xml:space="preserve">The phage was used for typing.  Morphologically </w:t>
      </w:r>
      <w:r w:rsidR="00374F33">
        <w:rPr>
          <w:rFonts w:ascii="Arial" w:hAnsi="Arial" w:cs="Arial"/>
          <w:sz w:val="20"/>
          <w:szCs w:val="20"/>
          <w:lang w:val="en-GB"/>
        </w:rPr>
        <w:t>phage 56</w:t>
      </w:r>
      <w:r w:rsidR="00E76B18">
        <w:rPr>
          <w:rFonts w:ascii="Arial" w:hAnsi="Arial" w:cs="Arial"/>
          <w:sz w:val="20"/>
          <w:szCs w:val="20"/>
          <w:lang w:val="en-GB"/>
        </w:rPr>
        <w:t xml:space="preserve"> has a small head 61 nm in diameter and a contractile tail 81 x 17 nm [2].  </w:t>
      </w:r>
      <w:r w:rsidR="00374F33">
        <w:rPr>
          <w:rFonts w:ascii="Arial" w:hAnsi="Arial" w:cs="Arial"/>
          <w:sz w:val="20"/>
          <w:szCs w:val="20"/>
          <w:lang w:val="en-GB"/>
        </w:rPr>
        <w:t xml:space="preserve">Phage 51 was also isolated in France [3]. </w:t>
      </w:r>
      <w:r w:rsidR="00E76B18">
        <w:rPr>
          <w:rFonts w:ascii="Arial" w:hAnsi="Arial" w:cs="Arial"/>
          <w:sz w:val="20"/>
          <w:szCs w:val="20"/>
          <w:lang w:val="en-GB"/>
        </w:rPr>
        <w:t xml:space="preserve">The authors of the </w:t>
      </w:r>
      <w:r w:rsidR="00374F33">
        <w:rPr>
          <w:rFonts w:ascii="Arial" w:hAnsi="Arial" w:cs="Arial"/>
          <w:sz w:val="20"/>
          <w:szCs w:val="20"/>
          <w:lang w:val="en-GB"/>
        </w:rPr>
        <w:t>former</w:t>
      </w:r>
      <w:r w:rsidR="00E76B18">
        <w:rPr>
          <w:rFonts w:ascii="Arial" w:hAnsi="Arial" w:cs="Arial"/>
          <w:sz w:val="20"/>
          <w:szCs w:val="20"/>
          <w:lang w:val="en-GB"/>
        </w:rPr>
        <w:t xml:space="preserve"> manuscript state “</w:t>
      </w:r>
      <w:r w:rsidR="00374F33" w:rsidRPr="00374F33">
        <w:rPr>
          <w:rFonts w:ascii="Arial" w:hAnsi="Arial" w:cs="Arial"/>
          <w:sz w:val="20"/>
          <w:szCs w:val="20"/>
          <w:lang w:val="en-GB"/>
        </w:rPr>
        <w:t>Comparative genomic analysis reveals that these phages, along</w:t>
      </w:r>
      <w:r w:rsidR="00374F33">
        <w:rPr>
          <w:rFonts w:ascii="Arial" w:hAnsi="Arial" w:cs="Arial"/>
          <w:sz w:val="20"/>
          <w:szCs w:val="20"/>
          <w:lang w:val="en-GB"/>
        </w:rPr>
        <w:t xml:space="preserve"> </w:t>
      </w:r>
      <w:r w:rsidR="00374F33" w:rsidRPr="00374F33">
        <w:rPr>
          <w:rFonts w:ascii="Arial" w:hAnsi="Arial" w:cs="Arial"/>
          <w:sz w:val="20"/>
          <w:szCs w:val="20"/>
          <w:lang w:val="en-GB"/>
        </w:rPr>
        <w:t xml:space="preserve">with related prophage genomes, form a new coherent group within the </w:t>
      </w:r>
      <w:proofErr w:type="gramStart"/>
      <w:r w:rsidR="00374F33" w:rsidRPr="00374F33">
        <w:rPr>
          <w:rFonts w:ascii="Arial" w:hAnsi="Arial" w:cs="Arial"/>
          <w:i/>
          <w:sz w:val="20"/>
          <w:szCs w:val="20"/>
          <w:lang w:val="en-GB"/>
        </w:rPr>
        <w:t>Myoviridae</w:t>
      </w:r>
      <w:r w:rsidR="00374F33" w:rsidRPr="00374F33">
        <w:rPr>
          <w:rFonts w:ascii="Arial" w:hAnsi="Arial" w:cs="Arial"/>
          <w:sz w:val="20"/>
          <w:szCs w:val="20"/>
          <w:lang w:val="en-GB"/>
        </w:rPr>
        <w:t>.</w:t>
      </w:r>
      <w:r w:rsidR="00374F33">
        <w:rPr>
          <w:rFonts w:ascii="Arial" w:hAnsi="Arial" w:cs="Arial"/>
          <w:sz w:val="20"/>
          <w:szCs w:val="20"/>
          <w:lang w:val="en-GB"/>
        </w:rPr>
        <w:t>[</w:t>
      </w:r>
      <w:proofErr w:type="gramEnd"/>
      <w:r w:rsidR="00374F33">
        <w:rPr>
          <w:rFonts w:ascii="Arial" w:hAnsi="Arial" w:cs="Arial"/>
          <w:sz w:val="20"/>
          <w:szCs w:val="20"/>
          <w:lang w:val="en-GB"/>
        </w:rPr>
        <w:t>2]”  Our analyses indicate that they are sufficiently different to justify establishment of a new genus.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383"/>
        <w:gridCol w:w="983"/>
        <w:gridCol w:w="978"/>
        <w:gridCol w:w="1010"/>
        <w:gridCol w:w="980"/>
      </w:tblGrid>
      <w:tr w:rsidR="0086150A" w:rsidRPr="008E7E3B" w14:paraId="74EE6D34" w14:textId="77777777" w:rsidTr="004D47FC">
        <w:tc>
          <w:tcPr>
            <w:tcW w:w="1451" w:type="dxa"/>
          </w:tcPr>
          <w:p w14:paraId="61BA04C0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78017E42" w14:textId="6CB00EC8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56222C11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86150A" w:rsidRPr="008E7E3B" w:rsidRDefault="0086150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86150A" w:rsidRPr="008E7E3B" w14:paraId="7986ECD9" w14:textId="77777777" w:rsidTr="0077463C">
        <w:tc>
          <w:tcPr>
            <w:tcW w:w="1451" w:type="dxa"/>
          </w:tcPr>
          <w:p w14:paraId="79E0649D" w14:textId="4DB98575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50A">
              <w:rPr>
                <w:rFonts w:ascii="Arial" w:hAnsi="Arial" w:cs="Arial"/>
                <w:sz w:val="20"/>
                <w:szCs w:val="20"/>
                <w:lang w:val="en-GB"/>
              </w:rPr>
              <w:t>vB_AsaM-56</w:t>
            </w:r>
          </w:p>
        </w:tc>
        <w:tc>
          <w:tcPr>
            <w:tcW w:w="1306" w:type="dxa"/>
            <w:vAlign w:val="center"/>
          </w:tcPr>
          <w:p w14:paraId="2EF566DF" w14:textId="241AE6C0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50A">
              <w:t>NC_019527.1</w:t>
            </w:r>
          </w:p>
        </w:tc>
        <w:tc>
          <w:tcPr>
            <w:tcW w:w="1306" w:type="dxa"/>
            <w:vAlign w:val="center"/>
          </w:tcPr>
          <w:p w14:paraId="3080DDA3" w14:textId="7E6AF1BE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50A">
              <w:t>JQ177063.1</w:t>
            </w:r>
          </w:p>
        </w:tc>
        <w:tc>
          <w:tcPr>
            <w:tcW w:w="983" w:type="dxa"/>
            <w:vAlign w:val="center"/>
          </w:tcPr>
          <w:p w14:paraId="5AC380C4" w14:textId="69181BD5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43.55</w:t>
            </w:r>
          </w:p>
        </w:tc>
        <w:tc>
          <w:tcPr>
            <w:tcW w:w="978" w:type="dxa"/>
            <w:vAlign w:val="center"/>
          </w:tcPr>
          <w:p w14:paraId="192FD525" w14:textId="5CF0A06E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55.4</w:t>
            </w:r>
          </w:p>
        </w:tc>
        <w:tc>
          <w:tcPr>
            <w:tcW w:w="1010" w:type="dxa"/>
            <w:vAlign w:val="center"/>
          </w:tcPr>
          <w:p w14:paraId="5B109C2B" w14:textId="164784F0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83</w:t>
            </w:r>
          </w:p>
        </w:tc>
        <w:tc>
          <w:tcPr>
            <w:tcW w:w="980" w:type="dxa"/>
          </w:tcPr>
          <w:p w14:paraId="27441283" w14:textId="6141C446" w:rsidR="0086150A" w:rsidRPr="008E7E3B" w:rsidRDefault="0086150A" w:rsidP="008615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56C290D6" w:rsidR="00C74088" w:rsidRDefault="0086150A" w:rsidP="00AC0E72">
      <w:pPr>
        <w:rPr>
          <w:rFonts w:ascii="Arial" w:hAnsi="Arial" w:cs="Arial"/>
          <w:sz w:val="20"/>
          <w:szCs w:val="20"/>
          <w:lang w:val="en-GB"/>
        </w:rPr>
      </w:pPr>
      <w:r w:rsidRPr="0086150A">
        <w:rPr>
          <w:rFonts w:ascii="Arial" w:hAnsi="Arial" w:cs="Arial"/>
          <w:sz w:val="20"/>
          <w:szCs w:val="20"/>
          <w:lang w:val="en-GB"/>
        </w:rPr>
        <w:t>Aeromonas</w:t>
      </w:r>
      <w:r>
        <w:rPr>
          <w:rFonts w:ascii="Arial" w:hAnsi="Arial" w:cs="Arial"/>
          <w:sz w:val="20"/>
          <w:szCs w:val="20"/>
          <w:lang w:val="en-GB"/>
        </w:rPr>
        <w:t xml:space="preserve"> phages 56 and 51 are identical to vB_AsaM-56 are should be considered as strains.</w:t>
      </w:r>
    </w:p>
    <w:p w14:paraId="013B434E" w14:textId="77777777" w:rsidR="0086150A" w:rsidRPr="0086150A" w:rsidRDefault="0086150A" w:rsidP="00AC0E72">
      <w:pPr>
        <w:rPr>
          <w:rFonts w:ascii="Arial" w:hAnsi="Arial" w:cs="Arial"/>
          <w:sz w:val="20"/>
          <w:szCs w:val="20"/>
          <w:lang w:val="en-GB"/>
        </w:rPr>
      </w:pPr>
    </w:p>
    <w:p w14:paraId="6AE5E306" w14:textId="310A6DBF" w:rsidR="00C74088" w:rsidRPr="00E76B18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E76B1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E76B18">
        <w:rPr>
          <w:rFonts w:ascii="Arial" w:hAnsi="Arial" w:cs="Arial"/>
          <w:sz w:val="20"/>
          <w:szCs w:val="20"/>
          <w:lang w:val="en-GB"/>
        </w:rPr>
        <w:t>See above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06F6E233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Phylogeny:</w:t>
      </w:r>
      <w:r w:rsidR="0060400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60400D" w:rsidRPr="0060400D">
        <w:rPr>
          <w:rFonts w:ascii="Arial" w:hAnsi="Arial" w:cs="Arial"/>
          <w:sz w:val="20"/>
          <w:szCs w:val="20"/>
          <w:lang w:val="en-GB"/>
        </w:rPr>
        <w:t xml:space="preserve">Phylogenetic tree, constructed using phylogeny.fr, of the major capsid proteins of phage </w:t>
      </w:r>
      <w:r w:rsidR="0060400D">
        <w:rPr>
          <w:rFonts w:ascii="Arial" w:hAnsi="Arial" w:cs="Arial"/>
          <w:sz w:val="20"/>
          <w:szCs w:val="20"/>
          <w:lang w:val="en-GB"/>
        </w:rPr>
        <w:t>vB_AsaM-56</w:t>
      </w:r>
      <w:r w:rsidR="0060400D" w:rsidRPr="0060400D">
        <w:rPr>
          <w:rFonts w:ascii="Arial" w:hAnsi="Arial" w:cs="Arial"/>
          <w:sz w:val="20"/>
          <w:szCs w:val="20"/>
          <w:lang w:val="en-GB"/>
        </w:rPr>
        <w:t xml:space="preserve"> and its relatives.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906A5A7" w:rsidR="009320C8" w:rsidRDefault="00E76B18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DE105" wp14:editId="484B28DE">
                <wp:simplePos x="0" y="0"/>
                <wp:positionH relativeFrom="column">
                  <wp:posOffset>609600</wp:posOffset>
                </wp:positionH>
                <wp:positionV relativeFrom="paragraph">
                  <wp:posOffset>175260</wp:posOffset>
                </wp:positionV>
                <wp:extent cx="2872740" cy="525780"/>
                <wp:effectExtent l="19050" t="1905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5257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2EA65" id="Rectangle 2" o:spid="_x0000_s1026" style="position:absolute;margin-left:48pt;margin-top:13.8pt;width:226.2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33CAC731" wp14:editId="03813341">
            <wp:extent cx="6007735" cy="223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B6855" w14:textId="77777777" w:rsidR="00945829" w:rsidRPr="00945829" w:rsidRDefault="00945829" w:rsidP="0094582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945829">
              <w:rPr>
                <w:rFonts w:ascii="Times New Roman" w:hAnsi="Times New Roman"/>
                <w:color w:val="000000"/>
              </w:rPr>
              <w:t>1: Popoff M, Vieu JF. [Bacteriophages and lysotyping of Aeromonas salmonicida]. C</w:t>
            </w:r>
          </w:p>
          <w:p w14:paraId="76EC8805" w14:textId="717E75A5" w:rsidR="00945829" w:rsidRDefault="00945829" w:rsidP="00945829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945829">
              <w:rPr>
                <w:rFonts w:ascii="Times New Roman" w:hAnsi="Times New Roman"/>
                <w:color w:val="000000"/>
              </w:rPr>
              <w:t xml:space="preserve">R Acad Sci Hebd Seances Acad Sci D. 1970 May </w:t>
            </w:r>
            <w:proofErr w:type="gramStart"/>
            <w:r w:rsidRPr="00945829">
              <w:rPr>
                <w:rFonts w:ascii="Times New Roman" w:hAnsi="Times New Roman"/>
                <w:color w:val="000000"/>
              </w:rPr>
              <w:t>4;18:2219</w:t>
            </w:r>
            <w:proofErr w:type="gramEnd"/>
            <w:r w:rsidRPr="00945829">
              <w:rPr>
                <w:rFonts w:ascii="Times New Roman" w:hAnsi="Times New Roman"/>
                <w:color w:val="000000"/>
              </w:rPr>
              <w:t>-22.</w:t>
            </w:r>
          </w:p>
          <w:p w14:paraId="704C6957" w14:textId="77777777" w:rsidR="00945829" w:rsidRDefault="00945829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3C7C075A" w14:textId="517035D5" w:rsidR="0086150A" w:rsidRPr="0086150A" w:rsidRDefault="00945829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86150A" w:rsidRPr="0086150A">
              <w:rPr>
                <w:rFonts w:ascii="Times New Roman" w:hAnsi="Times New Roman"/>
                <w:color w:val="000000"/>
              </w:rPr>
              <w:t>: Comeau AM, Tremblay D, Moineau S, Rattei T, Kushkina AI, Tovkach FI, Krisch</w:t>
            </w:r>
          </w:p>
          <w:p w14:paraId="7D32D0D2" w14:textId="77777777" w:rsidR="0086150A" w:rsidRPr="0086150A" w:rsidRDefault="0086150A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86150A">
              <w:rPr>
                <w:rFonts w:ascii="Times New Roman" w:hAnsi="Times New Roman"/>
                <w:color w:val="000000"/>
              </w:rPr>
              <w:t>HM, Ackermann HW. Phage morphology recapitulates phylogeny: the comparative</w:t>
            </w:r>
          </w:p>
          <w:p w14:paraId="057F4CFF" w14:textId="162A88E6" w:rsidR="00AA601F" w:rsidRDefault="0086150A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86150A">
              <w:rPr>
                <w:rFonts w:ascii="Times New Roman" w:hAnsi="Times New Roman"/>
                <w:color w:val="000000"/>
              </w:rPr>
              <w:t>genomics of a new group of myoviruses. PLoS One. 2012;7(7</w:t>
            </w:r>
            <w:proofErr w:type="gramStart"/>
            <w:r w:rsidRPr="0086150A">
              <w:rPr>
                <w:rFonts w:ascii="Times New Roman" w:hAnsi="Times New Roman"/>
                <w:color w:val="000000"/>
              </w:rPr>
              <w:t>):e</w:t>
            </w:r>
            <w:proofErr w:type="gramEnd"/>
            <w:r w:rsidRPr="0086150A">
              <w:rPr>
                <w:rFonts w:ascii="Times New Roman" w:hAnsi="Times New Roman"/>
                <w:color w:val="000000"/>
              </w:rPr>
              <w:t>40102.</w:t>
            </w:r>
          </w:p>
          <w:p w14:paraId="78D2ADED" w14:textId="45675D26" w:rsidR="0086150A" w:rsidRDefault="0086150A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1C458DC4" w14:textId="716FD3EC" w:rsidR="0086150A" w:rsidRPr="0086150A" w:rsidRDefault="00945829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6150A" w:rsidRPr="0086150A">
              <w:rPr>
                <w:rFonts w:ascii="Times New Roman" w:hAnsi="Times New Roman"/>
                <w:color w:val="000000"/>
              </w:rPr>
              <w:t>: Vincent AT, Paquet VE, Bernatchez A, Tremblay DM, Moineau S, Charette SJ.</w:t>
            </w:r>
          </w:p>
          <w:p w14:paraId="335C5665" w14:textId="77777777" w:rsidR="0086150A" w:rsidRPr="0086150A" w:rsidRDefault="0086150A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86150A">
              <w:rPr>
                <w:rFonts w:ascii="Times New Roman" w:hAnsi="Times New Roman"/>
                <w:color w:val="000000"/>
              </w:rPr>
              <w:t>Characterization and diversity of phages infecting Aeromonas salmonicida subsp.</w:t>
            </w:r>
          </w:p>
          <w:p w14:paraId="296D64FB" w14:textId="786B3163" w:rsidR="0086150A" w:rsidRDefault="0086150A" w:rsidP="0086150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86150A">
              <w:rPr>
                <w:rFonts w:ascii="Times New Roman" w:hAnsi="Times New Roman"/>
                <w:color w:val="000000"/>
              </w:rPr>
              <w:t>salmonicida. Sci Rep. 2017 Aug 1;7(1):7054.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9EDD" w14:textId="77777777" w:rsidR="00C80E86" w:rsidRDefault="00C80E86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6EEE25DD" w14:textId="77777777" w:rsidR="00C80E86" w:rsidRDefault="00C80E86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92212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92212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A6EE" w14:textId="77777777" w:rsidR="00C80E86" w:rsidRDefault="00C80E86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7E07FBAF" w14:textId="77777777" w:rsidR="00C80E86" w:rsidRDefault="00C80E86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4F33"/>
    <w:rsid w:val="00377A06"/>
    <w:rsid w:val="00384F60"/>
    <w:rsid w:val="003A0BE4"/>
    <w:rsid w:val="003A48CF"/>
    <w:rsid w:val="003A4E70"/>
    <w:rsid w:val="003A6C76"/>
    <w:rsid w:val="003B1208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400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17F5A"/>
    <w:rsid w:val="008277F3"/>
    <w:rsid w:val="00830785"/>
    <w:rsid w:val="00830C98"/>
    <w:rsid w:val="00835B67"/>
    <w:rsid w:val="008418CD"/>
    <w:rsid w:val="008442CB"/>
    <w:rsid w:val="008563BE"/>
    <w:rsid w:val="0086150A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45829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1E5F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249B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2212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80E86"/>
    <w:rsid w:val="00C92C04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6B18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1D4B"/>
    <w:rsid w:val="00F93153"/>
    <w:rsid w:val="00F95CC4"/>
    <w:rsid w:val="00FA2D02"/>
    <w:rsid w:val="00FA43E3"/>
    <w:rsid w:val="00FC22F7"/>
    <w:rsid w:val="00FC636D"/>
    <w:rsid w:val="00FC66D8"/>
    <w:rsid w:val="00FD1731"/>
    <w:rsid w:val="00FD2480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5488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4</cp:revision>
  <cp:lastPrinted>2017-01-11T11:49:00Z</cp:lastPrinted>
  <dcterms:created xsi:type="dcterms:W3CDTF">2018-05-22T16:04:00Z</dcterms:created>
  <dcterms:modified xsi:type="dcterms:W3CDTF">2019-01-02T22:31:00Z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