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E415009" w:rsidR="006D1B4E" w:rsidRPr="009320C8" w:rsidRDefault="007B3F90" w:rsidP="007B3F90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7B3F90">
              <w:rPr>
                <w:rFonts w:ascii="Arial" w:hAnsi="Arial" w:cs="Arial"/>
                <w:b/>
                <w:i/>
                <w:sz w:val="36"/>
                <w:szCs w:val="36"/>
              </w:rPr>
              <w:t>2018.021B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5B1E3FCF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0836B2" w:rsidRPr="000836B2">
              <w:rPr>
                <w:rFonts w:ascii="Arial" w:hAnsi="Arial" w:cs="Arial"/>
                <w:b/>
                <w:i/>
              </w:rPr>
              <w:t>G</w:t>
            </w:r>
            <w:r w:rsidR="00D10451">
              <w:rPr>
                <w:rFonts w:ascii="Arial" w:hAnsi="Arial" w:cs="Arial"/>
                <w:b/>
                <w:i/>
              </w:rPr>
              <w:t>e</w:t>
            </w:r>
            <w:r w:rsidR="000836B2" w:rsidRPr="000836B2">
              <w:rPr>
                <w:rFonts w:ascii="Arial" w:hAnsi="Arial" w:cs="Arial"/>
                <w:b/>
                <w:i/>
              </w:rPr>
              <w:t>sputvirus</w:t>
            </w:r>
            <w:r w:rsidR="000836B2">
              <w:rPr>
                <w:rFonts w:ascii="Arial" w:hAnsi="Arial" w:cs="Arial"/>
                <w:b/>
              </w:rPr>
              <w:t xml:space="preserve">, containing a single species in the family </w:t>
            </w:r>
            <w:r w:rsidR="000836B2" w:rsidRPr="000836B2">
              <w:rPr>
                <w:rFonts w:ascii="Arial" w:hAnsi="Arial" w:cs="Arial"/>
                <w:b/>
                <w:i/>
              </w:rPr>
              <w:t>Siphoviridae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8144D9B" w:rsidR="00422FF0" w:rsidRPr="009320C8" w:rsidRDefault="007B3F90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2719076E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0836B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B3F90" w:rsidRPr="007B3F90">
              <w:rPr>
                <w:rFonts w:ascii="Arial" w:hAnsi="Arial" w:cs="Arial"/>
                <w:b/>
                <w:sz w:val="22"/>
                <w:szCs w:val="22"/>
              </w:rPr>
              <w:t>2018.021B.N.v1.Gesputvirus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516047B8" w:rsidR="00384F60" w:rsidRPr="000836B2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0836B2" w:rsidRPr="000836B2">
        <w:rPr>
          <w:rFonts w:ascii="Arial" w:hAnsi="Arial" w:cs="Arial"/>
          <w:sz w:val="20"/>
          <w:szCs w:val="20"/>
          <w:lang w:val="en-GB"/>
        </w:rPr>
        <w:t>The name is derived from the first isolated phage of this type</w:t>
      </w:r>
      <w:r w:rsidR="000836B2">
        <w:rPr>
          <w:rFonts w:ascii="Arial" w:hAnsi="Arial" w:cs="Arial"/>
          <w:sz w:val="20"/>
          <w:szCs w:val="20"/>
          <w:lang w:val="en-GB"/>
        </w:rPr>
        <w:t xml:space="preserve">, </w:t>
      </w:r>
      <w:r w:rsidR="000836B2" w:rsidRPr="000836B2">
        <w:rPr>
          <w:rFonts w:ascii="Arial" w:hAnsi="Arial" w:cs="Arial"/>
          <w:sz w:val="20"/>
          <w:szCs w:val="20"/>
          <w:lang w:val="en-GB"/>
        </w:rPr>
        <w:t>Gordonia phage Gsput1</w:t>
      </w:r>
    </w:p>
    <w:p w14:paraId="186CAF47" w14:textId="77777777" w:rsidR="006C4A0C" w:rsidRPr="000836B2" w:rsidRDefault="006C4A0C" w:rsidP="00AC0E72">
      <w:pPr>
        <w:rPr>
          <w:lang w:val="en-GB"/>
        </w:rPr>
      </w:pPr>
    </w:p>
    <w:p w14:paraId="1C8CF7FC" w14:textId="745729C2" w:rsidR="006C4A0C" w:rsidRPr="000836B2" w:rsidRDefault="009A6F42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0836B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0836B2" w:rsidRPr="000836B2">
        <w:rPr>
          <w:rFonts w:ascii="Arial" w:hAnsi="Arial" w:cs="Arial"/>
          <w:sz w:val="20"/>
          <w:szCs w:val="20"/>
          <w:lang w:val="en-GB"/>
        </w:rPr>
        <w:t xml:space="preserve">This phage was isolated from </w:t>
      </w:r>
      <w:r w:rsidR="000836B2">
        <w:rPr>
          <w:rFonts w:ascii="Arial" w:hAnsi="Arial" w:cs="Arial"/>
          <w:sz w:val="20"/>
          <w:szCs w:val="20"/>
          <w:lang w:val="en-GB"/>
        </w:rPr>
        <w:t>a</w:t>
      </w:r>
      <w:r w:rsidR="000836B2" w:rsidRPr="000836B2">
        <w:rPr>
          <w:rFonts w:ascii="Arial" w:hAnsi="Arial" w:cs="Arial"/>
          <w:sz w:val="20"/>
          <w:szCs w:val="20"/>
          <w:lang w:val="en-GB"/>
        </w:rPr>
        <w:t>ctivated sludge foam samples from aeration basins from a wastewater treatment plant</w:t>
      </w:r>
      <w:r w:rsidR="000836B2">
        <w:rPr>
          <w:rFonts w:ascii="Arial" w:hAnsi="Arial" w:cs="Arial"/>
          <w:sz w:val="20"/>
          <w:szCs w:val="20"/>
          <w:lang w:val="en-GB"/>
        </w:rPr>
        <w:t xml:space="preserve"> in College Station, Tx, USA</w:t>
      </w:r>
      <w:r w:rsidR="000836B2" w:rsidRPr="000836B2">
        <w:rPr>
          <w:rFonts w:ascii="Arial" w:hAnsi="Arial" w:cs="Arial"/>
          <w:sz w:val="20"/>
          <w:szCs w:val="20"/>
          <w:lang w:val="en-GB"/>
        </w:rPr>
        <w:t>.</w:t>
      </w:r>
      <w:r w:rsidR="000836B2">
        <w:rPr>
          <w:rFonts w:ascii="Arial" w:hAnsi="Arial" w:cs="Arial"/>
          <w:sz w:val="20"/>
          <w:szCs w:val="20"/>
          <w:lang w:val="en-GB"/>
        </w:rPr>
        <w:t xml:space="preserve">  </w:t>
      </w:r>
      <w:r w:rsidR="001D3575">
        <w:rPr>
          <w:rFonts w:ascii="Arial" w:hAnsi="Arial" w:cs="Arial"/>
          <w:sz w:val="20"/>
          <w:szCs w:val="20"/>
          <w:lang w:val="en-GB"/>
        </w:rPr>
        <w:t xml:space="preserve">Morphologically, the head diameter and tail length of this siphovirus are </w:t>
      </w:r>
      <w:r w:rsidR="001D3575" w:rsidRPr="001D3575">
        <w:rPr>
          <w:rFonts w:ascii="Arial" w:hAnsi="Arial" w:cs="Arial"/>
          <w:sz w:val="20"/>
          <w:szCs w:val="20"/>
          <w:lang w:val="en-GB"/>
        </w:rPr>
        <w:t>62</w:t>
      </w:r>
      <w:r w:rsidR="001D3575">
        <w:rPr>
          <w:rFonts w:ascii="Arial" w:hAnsi="Arial" w:cs="Arial"/>
          <w:sz w:val="20"/>
          <w:szCs w:val="20"/>
          <w:lang w:val="en-GB"/>
        </w:rPr>
        <w:t xml:space="preserve"> and </w:t>
      </w:r>
      <w:r w:rsidR="001D3575" w:rsidRPr="001D3575">
        <w:rPr>
          <w:rFonts w:ascii="Arial" w:hAnsi="Arial" w:cs="Arial"/>
          <w:sz w:val="20"/>
          <w:szCs w:val="20"/>
          <w:lang w:val="en-GB"/>
        </w:rPr>
        <w:t>229</w:t>
      </w:r>
      <w:r w:rsidR="001D3575">
        <w:rPr>
          <w:rFonts w:ascii="Arial" w:hAnsi="Arial" w:cs="Arial"/>
          <w:sz w:val="20"/>
          <w:szCs w:val="20"/>
          <w:lang w:val="en-GB"/>
        </w:rPr>
        <w:t xml:space="preserve"> nm, respectively.  </w:t>
      </w:r>
      <w:r w:rsidR="000836B2">
        <w:rPr>
          <w:rFonts w:ascii="Arial" w:hAnsi="Arial" w:cs="Arial"/>
          <w:sz w:val="20"/>
          <w:szCs w:val="20"/>
          <w:lang w:val="en-GB"/>
        </w:rPr>
        <w:t>The</w:t>
      </w:r>
      <w:r w:rsidR="000836B2" w:rsidRPr="000836B2">
        <w:rPr>
          <w:rFonts w:ascii="Arial" w:hAnsi="Arial" w:cs="Arial"/>
          <w:sz w:val="20"/>
          <w:szCs w:val="20"/>
          <w:lang w:val="en-GB"/>
        </w:rPr>
        <w:t xml:space="preserve"> Gsput1 genom</w:t>
      </w:r>
      <w:r w:rsidR="000836B2">
        <w:rPr>
          <w:rFonts w:ascii="Arial" w:hAnsi="Arial" w:cs="Arial"/>
          <w:sz w:val="20"/>
          <w:szCs w:val="20"/>
          <w:lang w:val="en-GB"/>
        </w:rPr>
        <w:t xml:space="preserve">e </w:t>
      </w:r>
      <w:r w:rsidR="000836B2" w:rsidRPr="000836B2">
        <w:rPr>
          <w:rFonts w:ascii="Arial" w:hAnsi="Arial" w:cs="Arial"/>
          <w:sz w:val="20"/>
          <w:szCs w:val="20"/>
          <w:lang w:val="en-GB"/>
        </w:rPr>
        <w:t>possess 16 bp 5′ extended cos termini with the sequence 5′-GCTGACCCACGGACAC-3′</w:t>
      </w:r>
      <w:r w:rsidR="000836B2">
        <w:rPr>
          <w:rFonts w:ascii="Arial" w:hAnsi="Arial" w:cs="Arial"/>
          <w:sz w:val="20"/>
          <w:szCs w:val="20"/>
          <w:lang w:val="en-GB"/>
        </w:rPr>
        <w:t xml:space="preserve"> [1]</w:t>
      </w:r>
      <w:r w:rsidR="000836B2" w:rsidRPr="000836B2">
        <w:rPr>
          <w:rFonts w:ascii="Arial" w:hAnsi="Arial" w:cs="Arial"/>
          <w:sz w:val="20"/>
          <w:szCs w:val="20"/>
          <w:lang w:val="en-GB"/>
        </w:rPr>
        <w:t>.</w:t>
      </w:r>
      <w:r w:rsidR="000836B2">
        <w:rPr>
          <w:rFonts w:ascii="Arial" w:hAnsi="Arial" w:cs="Arial"/>
          <w:sz w:val="20"/>
          <w:szCs w:val="20"/>
          <w:lang w:val="en-GB"/>
        </w:rPr>
        <w:t xml:space="preserve"> </w:t>
      </w:r>
      <w:r w:rsidR="001D3575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570"/>
        <w:gridCol w:w="1423"/>
        <w:gridCol w:w="983"/>
        <w:gridCol w:w="978"/>
        <w:gridCol w:w="1010"/>
        <w:gridCol w:w="980"/>
      </w:tblGrid>
      <w:tr w:rsidR="000836B2" w:rsidRPr="008E7E3B" w14:paraId="74EE6D34" w14:textId="77777777" w:rsidTr="00A33A3A">
        <w:tc>
          <w:tcPr>
            <w:tcW w:w="1451" w:type="dxa"/>
          </w:tcPr>
          <w:p w14:paraId="61BA04C0" w14:textId="77777777" w:rsidR="000836B2" w:rsidRPr="008E7E3B" w:rsidRDefault="000836B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3FBCE771" w14:textId="76A058FB" w:rsidR="000836B2" w:rsidRPr="008E7E3B" w:rsidRDefault="000836B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306" w:type="dxa"/>
          </w:tcPr>
          <w:p w14:paraId="385514DD" w14:textId="7FE999C4" w:rsidR="000836B2" w:rsidRPr="008E7E3B" w:rsidRDefault="000836B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0836B2" w:rsidRPr="008E7E3B" w:rsidRDefault="000836B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0836B2" w:rsidRPr="008E7E3B" w:rsidRDefault="000836B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0836B2" w:rsidRPr="008E7E3B" w:rsidRDefault="000836B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0836B2" w:rsidRPr="008E7E3B" w:rsidRDefault="000836B2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0836B2" w:rsidRPr="008E7E3B" w14:paraId="7986ECD9" w14:textId="77777777" w:rsidTr="00AA79FB">
        <w:tc>
          <w:tcPr>
            <w:tcW w:w="1451" w:type="dxa"/>
          </w:tcPr>
          <w:p w14:paraId="79E0649D" w14:textId="0B529DE0" w:rsidR="000836B2" w:rsidRPr="008E7E3B" w:rsidRDefault="000836B2" w:rsidP="00083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Gsput1</w:t>
            </w:r>
          </w:p>
        </w:tc>
        <w:tc>
          <w:tcPr>
            <w:tcW w:w="1306" w:type="dxa"/>
            <w:vAlign w:val="center"/>
          </w:tcPr>
          <w:p w14:paraId="3DA96B30" w14:textId="1CF48AE1" w:rsidR="000836B2" w:rsidRPr="008E7E3B" w:rsidRDefault="000836B2" w:rsidP="00083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6B2">
              <w:t>NC_030932.1</w:t>
            </w:r>
          </w:p>
        </w:tc>
        <w:tc>
          <w:tcPr>
            <w:tcW w:w="1306" w:type="dxa"/>
            <w:vAlign w:val="center"/>
          </w:tcPr>
          <w:p w14:paraId="3080DDA3" w14:textId="60A8E57E" w:rsidR="000836B2" w:rsidRPr="008E7E3B" w:rsidRDefault="000836B2" w:rsidP="00083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6B2">
              <w:t>KP790011.1</w:t>
            </w:r>
          </w:p>
        </w:tc>
        <w:tc>
          <w:tcPr>
            <w:tcW w:w="983" w:type="dxa"/>
            <w:vAlign w:val="center"/>
          </w:tcPr>
          <w:p w14:paraId="5AC380C4" w14:textId="3F12F848" w:rsidR="000836B2" w:rsidRPr="008E7E3B" w:rsidRDefault="000836B2" w:rsidP="00083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43.51</w:t>
            </w:r>
          </w:p>
        </w:tc>
        <w:tc>
          <w:tcPr>
            <w:tcW w:w="978" w:type="dxa"/>
            <w:vAlign w:val="center"/>
          </w:tcPr>
          <w:p w14:paraId="192FD525" w14:textId="55CBC715" w:rsidR="000836B2" w:rsidRPr="008E7E3B" w:rsidRDefault="000836B2" w:rsidP="00083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62.8</w:t>
            </w:r>
          </w:p>
        </w:tc>
        <w:tc>
          <w:tcPr>
            <w:tcW w:w="1010" w:type="dxa"/>
            <w:vAlign w:val="center"/>
          </w:tcPr>
          <w:p w14:paraId="5B109C2B" w14:textId="05A1642C" w:rsidR="000836B2" w:rsidRPr="008E7E3B" w:rsidRDefault="000836B2" w:rsidP="00083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71</w:t>
            </w:r>
          </w:p>
        </w:tc>
        <w:tc>
          <w:tcPr>
            <w:tcW w:w="980" w:type="dxa"/>
          </w:tcPr>
          <w:p w14:paraId="27441283" w14:textId="1B8CA2E9" w:rsidR="000836B2" w:rsidRPr="008E7E3B" w:rsidRDefault="000836B2" w:rsidP="00083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05F44190" w:rsidR="00C74088" w:rsidRPr="000836B2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0836B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0836B2" w:rsidRPr="000836B2">
        <w:rPr>
          <w:rFonts w:ascii="Arial" w:hAnsi="Arial" w:cs="Arial"/>
          <w:sz w:val="20"/>
          <w:szCs w:val="20"/>
          <w:lang w:val="en-GB"/>
        </w:rPr>
        <w:t>None; genomic orphan/singleton</w:t>
      </w:r>
      <w:r w:rsidR="00932BB8">
        <w:rPr>
          <w:rFonts w:ascii="Arial" w:hAnsi="Arial" w:cs="Arial"/>
          <w:sz w:val="20"/>
          <w:szCs w:val="20"/>
          <w:lang w:val="en-GB"/>
        </w:rPr>
        <w:t xml:space="preserve">.  It’s closest relative is </w:t>
      </w:r>
      <w:r w:rsidR="00932BB8" w:rsidRPr="00932BB8">
        <w:rPr>
          <w:rFonts w:ascii="Arial" w:hAnsi="Arial" w:cs="Arial"/>
          <w:sz w:val="20"/>
          <w:szCs w:val="20"/>
          <w:lang w:val="en-GB"/>
        </w:rPr>
        <w:t>Gordonia phage DinoDaryn</w:t>
      </w:r>
      <w:r w:rsidR="00932BB8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53175164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9527BA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9527BA" w:rsidRPr="00784D52"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major capsid protein homologs of </w:t>
      </w:r>
      <w:r w:rsidR="009527BA">
        <w:rPr>
          <w:rFonts w:ascii="Arial" w:hAnsi="Arial" w:cs="Arial"/>
          <w:sz w:val="20"/>
          <w:szCs w:val="20"/>
          <w:lang w:val="en-GB"/>
        </w:rPr>
        <w:t>Gsput1</w:t>
      </w:r>
      <w:r w:rsidR="009527BA" w:rsidRPr="00784D52">
        <w:rPr>
          <w:rFonts w:ascii="Arial" w:hAnsi="Arial" w:cs="Arial"/>
          <w:sz w:val="20"/>
          <w:szCs w:val="20"/>
          <w:lang w:val="en-GB"/>
        </w:rPr>
        <w:t xml:space="preserve"> and related phages.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1268F143" w:rsidR="009320C8" w:rsidRDefault="001D3575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C48F1" wp14:editId="5E205ED4">
                <wp:simplePos x="0" y="0"/>
                <wp:positionH relativeFrom="column">
                  <wp:posOffset>3288632</wp:posOffset>
                </wp:positionH>
                <wp:positionV relativeFrom="paragraph">
                  <wp:posOffset>420303</wp:posOffset>
                </wp:positionV>
                <wp:extent cx="2574757" cy="184484"/>
                <wp:effectExtent l="19050" t="19050" r="1651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757" cy="1844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C68299" id="Rectangle 2" o:spid="_x0000_s1026" style="position:absolute;margin-left:258.95pt;margin-top:33.1pt;width:202.75pt;height: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1F8E46F" wp14:editId="312FA05D">
            <wp:extent cx="6007735" cy="234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500B4" w14:textId="77777777" w:rsidR="000836B2" w:rsidRPr="000836B2" w:rsidRDefault="000836B2" w:rsidP="000836B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0836B2">
              <w:rPr>
                <w:rFonts w:ascii="Times New Roman" w:hAnsi="Times New Roman"/>
                <w:color w:val="000000"/>
              </w:rPr>
              <w:t>1: Liu M, Gill JJ, Young R, Summer EJ. Bacteriophages of wastewater</w:t>
            </w:r>
          </w:p>
          <w:p w14:paraId="0E28EBA9" w14:textId="77777777" w:rsidR="000836B2" w:rsidRPr="000836B2" w:rsidRDefault="000836B2" w:rsidP="000836B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0836B2">
              <w:rPr>
                <w:rFonts w:ascii="Times New Roman" w:hAnsi="Times New Roman"/>
                <w:color w:val="000000"/>
              </w:rPr>
              <w:t>foaming-associated filamentous Gordonia reduce host levels in raw activated</w:t>
            </w:r>
          </w:p>
          <w:p w14:paraId="057F4CFF" w14:textId="52E56605" w:rsidR="00AA601F" w:rsidRDefault="000836B2" w:rsidP="000836B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0836B2">
              <w:rPr>
                <w:rFonts w:ascii="Times New Roman" w:hAnsi="Times New Roman"/>
                <w:color w:val="000000"/>
              </w:rPr>
              <w:t>sludge. Sci Rep. 2015 Sep 9;5:13754.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FDE1E" w14:textId="77777777" w:rsidR="0084058D" w:rsidRDefault="0084058D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7A14D2E1" w14:textId="77777777" w:rsidR="0084058D" w:rsidRDefault="0084058D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7B3F90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7B3F90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9DEDB" w14:textId="77777777" w:rsidR="0084058D" w:rsidRDefault="0084058D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68D834C9" w14:textId="77777777" w:rsidR="0084058D" w:rsidRDefault="0084058D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836B2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D3575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6F70EA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B3F90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058D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2BB8"/>
    <w:rsid w:val="0093622B"/>
    <w:rsid w:val="009527BA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451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3D40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4671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2018-05-10T18:01:00Z</dcterms:created>
  <dcterms:modified xsi:type="dcterms:W3CDTF">2018-05-10T18:01:00Z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