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3C12FE89" w:rsidR="006D1B4E" w:rsidRPr="009320C8" w:rsidRDefault="00A5199A" w:rsidP="00A5199A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A5199A">
              <w:rPr>
                <w:rFonts w:ascii="Arial" w:hAnsi="Arial" w:cs="Arial"/>
                <w:b/>
                <w:i/>
                <w:sz w:val="36"/>
                <w:szCs w:val="36"/>
              </w:rPr>
              <w:t>2018.020B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5FA736A5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EA2772" w:rsidRPr="00EA2772">
              <w:rPr>
                <w:rFonts w:ascii="Arial" w:hAnsi="Arial" w:cs="Arial"/>
                <w:b/>
                <w:i/>
              </w:rPr>
              <w:t>Galaxyvirus</w:t>
            </w:r>
            <w:r w:rsidR="00EA2772">
              <w:rPr>
                <w:rFonts w:ascii="Arial" w:hAnsi="Arial" w:cs="Arial"/>
                <w:b/>
              </w:rPr>
              <w:t xml:space="preserve">, containing two (2) species in the family </w:t>
            </w:r>
            <w:r w:rsidR="00EA2772" w:rsidRPr="00EA2772">
              <w:rPr>
                <w:rFonts w:ascii="Arial" w:hAnsi="Arial" w:cs="Arial"/>
                <w:b/>
                <w:i/>
              </w:rPr>
              <w:t>Siphoviridae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1D7E78D2" w:rsidR="00422FF0" w:rsidRPr="009320C8" w:rsidRDefault="00A5199A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0BFA2069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EA277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5199A" w:rsidRPr="00A5199A">
              <w:rPr>
                <w:rFonts w:ascii="Arial" w:hAnsi="Arial" w:cs="Arial"/>
                <w:b/>
                <w:sz w:val="22"/>
                <w:szCs w:val="22"/>
              </w:rPr>
              <w:t>2018.020B.N.v1.Galaxyvirus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0A21703E" w:rsidR="00384F60" w:rsidRPr="002F07B5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2F07B5">
        <w:rPr>
          <w:rFonts w:ascii="Arial" w:hAnsi="Arial" w:cs="Arial"/>
          <w:sz w:val="20"/>
          <w:szCs w:val="20"/>
          <w:lang w:val="en-GB"/>
        </w:rPr>
        <w:t xml:space="preserve">The name is directly taken from the first isolated member of this type of phage, </w:t>
      </w:r>
      <w:r w:rsidR="002F07B5" w:rsidRPr="002F07B5">
        <w:rPr>
          <w:rFonts w:ascii="Arial" w:hAnsi="Arial" w:cs="Arial"/>
          <w:sz w:val="20"/>
          <w:szCs w:val="20"/>
          <w:lang w:val="en-GB"/>
        </w:rPr>
        <w:t>Arthrobacter phage</w:t>
      </w:r>
      <w:r w:rsidR="002F07B5">
        <w:rPr>
          <w:rFonts w:ascii="Arial" w:hAnsi="Arial" w:cs="Arial"/>
          <w:sz w:val="20"/>
          <w:szCs w:val="20"/>
          <w:lang w:val="en-GB"/>
        </w:rPr>
        <w:t xml:space="preserve"> Galaxy [1].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468A50A9" w:rsidR="006C4A0C" w:rsidRPr="002F07B5" w:rsidRDefault="009A6F42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2F07B5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2F07B5" w:rsidRPr="002F07B5">
        <w:rPr>
          <w:rFonts w:ascii="Arial" w:hAnsi="Arial" w:cs="Arial"/>
          <w:sz w:val="20"/>
          <w:szCs w:val="20"/>
          <w:lang w:val="en-GB"/>
        </w:rPr>
        <w:t>Temperate phage Galaxy</w:t>
      </w:r>
      <w:r w:rsidR="00C00CC7">
        <w:rPr>
          <w:rFonts w:ascii="Arial" w:hAnsi="Arial" w:cs="Arial"/>
          <w:sz w:val="20"/>
          <w:szCs w:val="20"/>
          <w:lang w:val="en-GB"/>
        </w:rPr>
        <w:t xml:space="preserve"> was isolated </w:t>
      </w:r>
      <w:r w:rsidR="00BD2CA0">
        <w:rPr>
          <w:rFonts w:ascii="Arial" w:hAnsi="Arial" w:cs="Arial"/>
          <w:sz w:val="20"/>
          <w:szCs w:val="20"/>
          <w:lang w:val="en-GB"/>
        </w:rPr>
        <w:t xml:space="preserve">in 2013 </w:t>
      </w:r>
      <w:r w:rsidR="00C00CC7">
        <w:rPr>
          <w:rFonts w:ascii="Arial" w:hAnsi="Arial" w:cs="Arial"/>
          <w:sz w:val="20"/>
          <w:szCs w:val="20"/>
          <w:lang w:val="en-GB"/>
        </w:rPr>
        <w:t xml:space="preserve">by </w:t>
      </w:r>
      <w:r w:rsidR="00BD2CA0" w:rsidRPr="00BD2CA0">
        <w:rPr>
          <w:rFonts w:ascii="Arial" w:hAnsi="Arial" w:cs="Arial"/>
          <w:sz w:val="20"/>
          <w:szCs w:val="20"/>
          <w:lang w:val="en-GB"/>
        </w:rPr>
        <w:t>Yein Christina Park</w:t>
      </w:r>
      <w:r w:rsidR="00BD2CA0">
        <w:rPr>
          <w:rFonts w:ascii="Arial" w:hAnsi="Arial" w:cs="Arial"/>
          <w:sz w:val="20"/>
          <w:szCs w:val="20"/>
          <w:lang w:val="en-GB"/>
        </w:rPr>
        <w:t xml:space="preserve"> from </w:t>
      </w:r>
      <w:r w:rsidR="00BD2CA0" w:rsidRPr="00BD2CA0">
        <w:rPr>
          <w:rFonts w:ascii="Arial" w:hAnsi="Arial" w:cs="Arial"/>
          <w:sz w:val="20"/>
          <w:szCs w:val="20"/>
          <w:lang w:val="en-GB"/>
        </w:rPr>
        <w:t>Harmony, PA USA</w:t>
      </w:r>
      <w:r w:rsidR="00BD2CA0">
        <w:rPr>
          <w:rFonts w:ascii="Arial" w:hAnsi="Arial" w:cs="Arial"/>
          <w:sz w:val="20"/>
          <w:szCs w:val="20"/>
          <w:lang w:val="en-GB"/>
        </w:rPr>
        <w:t xml:space="preserve"> as part of the </w:t>
      </w:r>
      <w:r w:rsidR="00BD2CA0" w:rsidRPr="00BD2CA0">
        <w:rPr>
          <w:rFonts w:ascii="Arial" w:hAnsi="Arial" w:cs="Arial"/>
          <w:sz w:val="20"/>
          <w:szCs w:val="20"/>
          <w:lang w:val="en-GB"/>
        </w:rPr>
        <w:t>Phage Hunters Integrating Research and Education</w:t>
      </w:r>
      <w:r w:rsidR="00BD2CA0">
        <w:rPr>
          <w:rFonts w:ascii="Arial" w:hAnsi="Arial" w:cs="Arial"/>
          <w:sz w:val="20"/>
          <w:szCs w:val="20"/>
          <w:lang w:val="en-GB"/>
        </w:rPr>
        <w:t xml:space="preserve"> program</w:t>
      </w:r>
      <w:r w:rsidR="000A7B76">
        <w:rPr>
          <w:rFonts w:ascii="Arial" w:hAnsi="Arial" w:cs="Arial"/>
          <w:sz w:val="20"/>
          <w:szCs w:val="20"/>
          <w:lang w:val="en-GB"/>
        </w:rPr>
        <w:t xml:space="preserve">, using </w:t>
      </w:r>
      <w:r w:rsidR="000A7B76" w:rsidRPr="000A7B76">
        <w:rPr>
          <w:rFonts w:ascii="Arial" w:hAnsi="Arial" w:cs="Arial"/>
          <w:sz w:val="20"/>
          <w:szCs w:val="20"/>
          <w:lang w:val="en-GB"/>
        </w:rPr>
        <w:t>Arthrobacter sp. ATCC 21022</w:t>
      </w:r>
      <w:r w:rsidR="000A7B76">
        <w:rPr>
          <w:rFonts w:ascii="Arial" w:hAnsi="Arial" w:cs="Arial"/>
          <w:sz w:val="20"/>
          <w:szCs w:val="20"/>
          <w:lang w:val="en-GB"/>
        </w:rPr>
        <w:t xml:space="preserve"> as the host bacterium</w:t>
      </w:r>
      <w:r w:rsidR="00BD2CA0">
        <w:rPr>
          <w:rFonts w:ascii="Arial" w:hAnsi="Arial" w:cs="Arial"/>
          <w:sz w:val="20"/>
          <w:szCs w:val="20"/>
          <w:lang w:val="en-GB"/>
        </w:rPr>
        <w:t>.  It is classified to subcluster AS1 in The Actinobacteriophage Database (</w:t>
      </w:r>
      <w:hyperlink r:id="rId9" w:history="1">
        <w:r w:rsidR="00BD2CA0" w:rsidRPr="000101AD">
          <w:rPr>
            <w:rStyle w:val="Hyperlink"/>
            <w:rFonts w:ascii="Arial" w:hAnsi="Arial" w:cs="Arial"/>
            <w:sz w:val="20"/>
            <w:szCs w:val="20"/>
            <w:lang w:val="en-GB"/>
          </w:rPr>
          <w:t>http://phagesdb.org/phages/Galaxy/</w:t>
        </w:r>
      </w:hyperlink>
      <w:r w:rsidR="00BD2CA0">
        <w:rPr>
          <w:rFonts w:ascii="Arial" w:hAnsi="Arial" w:cs="Arial"/>
          <w:sz w:val="20"/>
          <w:szCs w:val="20"/>
          <w:lang w:val="en-GB"/>
        </w:rPr>
        <w:t>).  The genome possesses 10 bp overhanging ends but it is not known whether they are 5’ or 3’ extensions.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463"/>
        <w:gridCol w:w="983"/>
        <w:gridCol w:w="978"/>
        <w:gridCol w:w="1010"/>
        <w:gridCol w:w="980"/>
        <w:gridCol w:w="1084"/>
      </w:tblGrid>
      <w:tr w:rsidR="00EA2772" w:rsidRPr="008E7E3B" w14:paraId="74EE6D34" w14:textId="446386FB" w:rsidTr="00EA2772">
        <w:tc>
          <w:tcPr>
            <w:tcW w:w="1451" w:type="dxa"/>
          </w:tcPr>
          <w:p w14:paraId="61BA04C0" w14:textId="77777777" w:rsidR="00EA2772" w:rsidRPr="008E7E3B" w:rsidRDefault="00EA277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463" w:type="dxa"/>
          </w:tcPr>
          <w:p w14:paraId="385514DD" w14:textId="77777777" w:rsidR="00EA2772" w:rsidRPr="008E7E3B" w:rsidRDefault="00EA277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EA2772" w:rsidRPr="008E7E3B" w:rsidRDefault="00EA277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EA2772" w:rsidRPr="008E7E3B" w:rsidRDefault="00EA277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EA2772" w:rsidRPr="008E7E3B" w:rsidRDefault="00EA277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EA2772" w:rsidRPr="008E7E3B" w:rsidRDefault="00EA277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084" w:type="dxa"/>
          </w:tcPr>
          <w:p w14:paraId="393E3522" w14:textId="186C3959" w:rsidR="00EA2772" w:rsidRPr="008E7E3B" w:rsidRDefault="00EA277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DNA sequence identity</w:t>
            </w:r>
          </w:p>
        </w:tc>
      </w:tr>
      <w:tr w:rsidR="00EA2772" w:rsidRPr="008E7E3B" w14:paraId="7986ECD9" w14:textId="22892D0C" w:rsidTr="00EA2772">
        <w:tc>
          <w:tcPr>
            <w:tcW w:w="1451" w:type="dxa"/>
          </w:tcPr>
          <w:p w14:paraId="79E0649D" w14:textId="4315AB58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Galaxy</w:t>
            </w:r>
          </w:p>
        </w:tc>
        <w:tc>
          <w:tcPr>
            <w:tcW w:w="1463" w:type="dxa"/>
            <w:vAlign w:val="center"/>
          </w:tcPr>
          <w:p w14:paraId="3080DDA3" w14:textId="3350E943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772">
              <w:t>KU160644</w:t>
            </w:r>
          </w:p>
        </w:tc>
        <w:tc>
          <w:tcPr>
            <w:tcW w:w="983" w:type="dxa"/>
            <w:vAlign w:val="center"/>
          </w:tcPr>
          <w:p w14:paraId="5AC380C4" w14:textId="10EBF4C9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37.81</w:t>
            </w:r>
          </w:p>
        </w:tc>
        <w:tc>
          <w:tcPr>
            <w:tcW w:w="978" w:type="dxa"/>
            <w:vAlign w:val="center"/>
          </w:tcPr>
          <w:p w14:paraId="192FD525" w14:textId="471A73DF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68.4</w:t>
            </w:r>
          </w:p>
        </w:tc>
        <w:tc>
          <w:tcPr>
            <w:tcW w:w="1010" w:type="dxa"/>
            <w:vAlign w:val="center"/>
          </w:tcPr>
          <w:p w14:paraId="5B109C2B" w14:textId="5CDC1C55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65</w:t>
            </w:r>
          </w:p>
        </w:tc>
        <w:tc>
          <w:tcPr>
            <w:tcW w:w="980" w:type="dxa"/>
          </w:tcPr>
          <w:p w14:paraId="27441283" w14:textId="0337DF6B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84" w:type="dxa"/>
          </w:tcPr>
          <w:p w14:paraId="0391FB15" w14:textId="3903B6C5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</w:tr>
      <w:tr w:rsidR="00EA2772" w:rsidRPr="008E7E3B" w14:paraId="67E6E078" w14:textId="77777777" w:rsidTr="00EA2772">
        <w:tc>
          <w:tcPr>
            <w:tcW w:w="1451" w:type="dxa"/>
          </w:tcPr>
          <w:p w14:paraId="7A0F2203" w14:textId="5A1D5E3C" w:rsidR="00EA2772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772">
              <w:rPr>
                <w:rFonts w:ascii="Arial" w:hAnsi="Arial" w:cs="Arial"/>
                <w:sz w:val="20"/>
                <w:szCs w:val="20"/>
                <w:lang w:val="en-GB"/>
              </w:rPr>
              <w:t>Abidatro</w:t>
            </w:r>
          </w:p>
        </w:tc>
        <w:tc>
          <w:tcPr>
            <w:tcW w:w="1463" w:type="dxa"/>
          </w:tcPr>
          <w:p w14:paraId="3198D802" w14:textId="5516129F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772">
              <w:rPr>
                <w:rFonts w:ascii="Arial" w:hAnsi="Arial" w:cs="Arial"/>
                <w:sz w:val="20"/>
                <w:szCs w:val="20"/>
                <w:lang w:val="en-GB"/>
              </w:rPr>
              <w:t>MF140397</w:t>
            </w:r>
          </w:p>
        </w:tc>
        <w:tc>
          <w:tcPr>
            <w:tcW w:w="983" w:type="dxa"/>
          </w:tcPr>
          <w:p w14:paraId="4FA39593" w14:textId="409C9A3D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39.12</w:t>
            </w:r>
          </w:p>
        </w:tc>
        <w:tc>
          <w:tcPr>
            <w:tcW w:w="978" w:type="dxa"/>
            <w:vAlign w:val="center"/>
          </w:tcPr>
          <w:p w14:paraId="51AE01DE" w14:textId="1199C3D4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68.5</w:t>
            </w:r>
          </w:p>
        </w:tc>
        <w:tc>
          <w:tcPr>
            <w:tcW w:w="1010" w:type="dxa"/>
            <w:vAlign w:val="center"/>
          </w:tcPr>
          <w:p w14:paraId="1B8A76D8" w14:textId="52FA6705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66</w:t>
            </w:r>
          </w:p>
        </w:tc>
        <w:tc>
          <w:tcPr>
            <w:tcW w:w="980" w:type="dxa"/>
          </w:tcPr>
          <w:p w14:paraId="29FE041A" w14:textId="6B4EFDD6" w:rsidR="00EA2772" w:rsidRPr="008E7E3B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84" w:type="dxa"/>
          </w:tcPr>
          <w:p w14:paraId="10F025CD" w14:textId="5016B05A" w:rsidR="00EA2772" w:rsidRDefault="00EA2772" w:rsidP="00EA27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442ACF4D" w:rsidR="00C74088" w:rsidRPr="00EA2772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EA277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EA2772">
        <w:rPr>
          <w:rFonts w:ascii="Arial" w:hAnsi="Arial" w:cs="Arial"/>
          <w:sz w:val="20"/>
          <w:szCs w:val="20"/>
          <w:lang w:val="en-GB"/>
        </w:rPr>
        <w:t>see above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F8E78D8" w14:textId="1DF8A00C" w:rsidR="000A7B76" w:rsidRDefault="000A7B76" w:rsidP="000A7B7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Electron micrograph: </w:t>
      </w:r>
      <w:r>
        <w:rPr>
          <w:rFonts w:ascii="Arial" w:hAnsi="Arial" w:cs="Arial"/>
          <w:sz w:val="20"/>
          <w:szCs w:val="20"/>
          <w:lang w:val="en-GB"/>
        </w:rPr>
        <w:t xml:space="preserve">Electron micrograph of negatively stained </w:t>
      </w:r>
      <w:bookmarkStart w:id="5" w:name="_Hlk508880216"/>
      <w:r>
        <w:rPr>
          <w:rFonts w:ascii="Arial" w:hAnsi="Arial" w:cs="Arial"/>
          <w:sz w:val="20"/>
          <w:szCs w:val="20"/>
          <w:lang w:val="en-GB"/>
        </w:rPr>
        <w:t xml:space="preserve">Arthobacter phage </w:t>
      </w:r>
      <w:bookmarkEnd w:id="5"/>
      <w:r>
        <w:rPr>
          <w:rFonts w:ascii="Arial" w:hAnsi="Arial" w:cs="Arial"/>
          <w:sz w:val="20"/>
          <w:szCs w:val="20"/>
          <w:lang w:val="en-GB"/>
        </w:rPr>
        <w:t>Galaxy (http://phagesdb.org/phages/Galaxy/) - Limited permission was granted by The</w:t>
      </w:r>
    </w:p>
    <w:p w14:paraId="27BED794" w14:textId="77777777" w:rsidR="000A7B76" w:rsidRDefault="000A7B76" w:rsidP="000A7B7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Actinobacteriophages Database, funded by the Howard Hughes Medical Institute, to use this</w:t>
      </w:r>
    </w:p>
    <w:p w14:paraId="5F610BD3" w14:textId="77777777" w:rsidR="000A7B76" w:rsidRDefault="000A7B76" w:rsidP="000A7B7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electron micrograph for this taxonomy proposal; it cannot be reused without permission of The</w:t>
      </w:r>
    </w:p>
    <w:p w14:paraId="290F8D4C" w14:textId="77777777" w:rsidR="000A7B76" w:rsidRDefault="000A7B76" w:rsidP="000A7B7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Actinobacteriophages Database.</w:t>
      </w:r>
    </w:p>
    <w:p w14:paraId="54AC68CF" w14:textId="43C82E73" w:rsidR="000A7B76" w:rsidRDefault="000A7B76" w:rsidP="000A7B7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53DC2FC" w14:textId="41A56ECF" w:rsidR="000A7B76" w:rsidRDefault="000A7B76" w:rsidP="000A7B76">
      <w:pPr>
        <w:jc w:val="center"/>
        <w:rPr>
          <w:rFonts w:ascii="Arial" w:hAnsi="Arial" w:cs="Arial"/>
          <w:b/>
          <w:color w:val="0000FF"/>
          <w:sz w:val="20"/>
          <w:szCs w:val="20"/>
          <w:lang w:val="en-GB"/>
        </w:rPr>
      </w:pPr>
      <w:r>
        <w:rPr>
          <w:rFonts w:ascii="Arial" w:hAnsi="Arial" w:cs="Arial"/>
          <w:b/>
          <w:noProof/>
          <w:color w:val="0000FF"/>
          <w:sz w:val="20"/>
          <w:szCs w:val="20"/>
          <w:lang w:val="en-GB" w:eastAsia="en-GB"/>
        </w:rPr>
        <w:drawing>
          <wp:inline distT="0" distB="0" distL="0" distR="0" wp14:anchorId="0298E108" wp14:editId="08F46F19">
            <wp:extent cx="2330116" cy="16975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axy_EMPic - SMALL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410" cy="170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2C11" w14:textId="77777777" w:rsidR="000A7B76" w:rsidRDefault="000A7B76" w:rsidP="000A7B7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69D5F04" w14:textId="77777777" w:rsidR="000A7B76" w:rsidRDefault="000A7B76" w:rsidP="000A7B76">
      <w:pPr>
        <w:jc w:val="center"/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3E530A4C" w14:textId="77777777" w:rsidR="000A7B76" w:rsidRDefault="000A7B76" w:rsidP="000A7B7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12BEEA64" w14:textId="77777777" w:rsidR="000A7B76" w:rsidRDefault="000A7B76" w:rsidP="000A7B76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Phylogeny: </w:t>
      </w:r>
      <w:r>
        <w:rPr>
          <w:rFonts w:ascii="Arial" w:hAnsi="Arial" w:cs="Arial"/>
          <w:sz w:val="20"/>
          <w:szCs w:val="20"/>
          <w:lang w:val="en-GB"/>
        </w:rPr>
        <w:t>The phylogenetic tree was constructed, using phylogeny.fr, using the major capsid protein homologs of these and related phages.</w:t>
      </w:r>
    </w:p>
    <w:p w14:paraId="67123312" w14:textId="1488F58A" w:rsidR="00AC0E72" w:rsidRDefault="000A7B76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07198" wp14:editId="756903DA">
                <wp:simplePos x="0" y="0"/>
                <wp:positionH relativeFrom="column">
                  <wp:posOffset>2133600</wp:posOffset>
                </wp:positionH>
                <wp:positionV relativeFrom="paragraph">
                  <wp:posOffset>866240</wp:posOffset>
                </wp:positionV>
                <wp:extent cx="3056021" cy="397042"/>
                <wp:effectExtent l="19050" t="19050" r="1143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021" cy="39704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55A6A9" id="Rectangle 5" o:spid="_x0000_s1026" style="position:absolute;margin-left:168pt;margin-top:68.2pt;width:240.65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F53035" wp14:editId="45F86ED7">
            <wp:extent cx="6007735" cy="1875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jor capsid protein phylogenetic tree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CF0BF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1: Klyczek KK, Bonilla JA, Jacobs-Sera D, Adair TL, Afram P, Allen KG,</w:t>
            </w:r>
          </w:p>
          <w:p w14:paraId="25ECD895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Archambault ML, Aziz RM, Bagnasco FG, Ball SL, Barrett NA, Benjamin RC, Blasi CJ,</w:t>
            </w:r>
          </w:p>
          <w:p w14:paraId="0A3D9616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Borst K, Braun MA, Broomell H, Brown CB, Brynell ZS, Bue AB, Burke SO, Casazza W,</w:t>
            </w:r>
          </w:p>
          <w:p w14:paraId="77B3882E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Cautela JA, Chen K, Chimalakonda NS, Chudoff D, Connor JA, Cross TS, Curtis KN,</w:t>
            </w:r>
          </w:p>
          <w:p w14:paraId="3D7C43C6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Dahlke JA, Deaton BM, Degroote SJ, DeNigris DM, DeRuff KC, Dolan M, Dunbar D,</w:t>
            </w:r>
          </w:p>
          <w:p w14:paraId="6340CE88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Egan MS, Evans DR, Fahnestock AK, Farooq A, Finn G, Fratus CR, Gaffney BL,</w:t>
            </w:r>
          </w:p>
          <w:p w14:paraId="48401BCF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Garlena RA, Garrigan KE, Gibbon BC, Goedde MA, Guerrero Bustamante CA, Harrison</w:t>
            </w:r>
          </w:p>
          <w:p w14:paraId="5E77BD52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M, Hartwell MC, Heckman EL, Huang J, Hughes LE, Hyduchak KM, Jacob AE, Kaku M,</w:t>
            </w:r>
          </w:p>
          <w:p w14:paraId="32A6ECEC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Karstens AW, Kenna MA, Khetarpal S, King RA, Kobokovich AL, Kolev H, Konde SA,</w:t>
            </w:r>
          </w:p>
          <w:p w14:paraId="48DBF66C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 xml:space="preserve">Kriese E, Lamey ME, Lantz CN, Lapin JS, Lawson TO, Lee IY, Lee SM, Lee-Soety JY, </w:t>
            </w:r>
          </w:p>
          <w:p w14:paraId="39895B29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Lehmann EM, London SC, Lopez AJ, Lynch KC, Mageeney CM, Martynyuk T, Mathew KJ,</w:t>
            </w:r>
          </w:p>
          <w:p w14:paraId="657B0A23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Mavrich TN, McDaniel CM, McDonald H, McManus CJ, Medrano JE, Mele FE, Menninger</w:t>
            </w:r>
          </w:p>
          <w:p w14:paraId="3C40BD2D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JE, Miller SN, Minick JE, Nabua CT, Napoli CK, Nkangabwa M, Oates EA, Ott CT,</w:t>
            </w:r>
          </w:p>
          <w:p w14:paraId="1AA646BC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Pellerino SK, Pinamont WJ, Pirnie RT, Pizzorno MC, Plautz EJ, Pope WH, Pruett KM,</w:t>
            </w:r>
          </w:p>
          <w:p w14:paraId="77F45689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Rickstrew G, Rimple PA, Rinehart CA, Robinson KM, Rose VA, Russell DA, Schick AM,</w:t>
            </w:r>
          </w:p>
          <w:p w14:paraId="73A8C778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Schlossman J, Schneider VM, Sells CA, Sieker JW, Silva MP, Silvi MM, Simon SE,</w:t>
            </w:r>
          </w:p>
          <w:p w14:paraId="2CF9309E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lastRenderedPageBreak/>
              <w:t>Staples AK, Steed IL, Stowe EL, Stueven NA, Swartz PT, Sweet EA, Sweetman AT,</w:t>
            </w:r>
          </w:p>
          <w:p w14:paraId="6ECAF822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Tender C, Terry K, Thomas C, Thomas DS, Thompson AR, Vanderveen L, Varma R,</w:t>
            </w:r>
          </w:p>
          <w:p w14:paraId="7B9E2F47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 xml:space="preserve">Vaught HL, Vo QD, Vonberg ZT, Ware VC, Warrad YM, Wathen KE, Weinstein JL, Wyper </w:t>
            </w:r>
          </w:p>
          <w:p w14:paraId="7E88AB9A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JF, Yankauskas JR, Zhang C, Hatfull GF. Tales of diversity: Genomic and</w:t>
            </w:r>
          </w:p>
          <w:p w14:paraId="5C2C3A0A" w14:textId="77777777" w:rsidR="00EA2772" w:rsidRPr="00EA2772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morphological characteristics of forty-six Arthrobacter phages. PLoS One. 2017</w:t>
            </w:r>
          </w:p>
          <w:p w14:paraId="057F4CFF" w14:textId="27BB7EA8" w:rsidR="00AA601F" w:rsidRDefault="00EA2772" w:rsidP="00EA277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2772">
              <w:rPr>
                <w:rFonts w:ascii="Times New Roman" w:hAnsi="Times New Roman"/>
                <w:color w:val="000000"/>
              </w:rPr>
              <w:t>Jul 17;12(7):e0180517.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2"/>
      <w:footerReference w:type="default" r:id="rId13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AFFED" w14:textId="77777777" w:rsidR="00E95A0C" w:rsidRDefault="00E95A0C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47DE2C68" w14:textId="77777777" w:rsidR="00E95A0C" w:rsidRDefault="00E95A0C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A5199A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A5199A">
      <w:rPr>
        <w:rFonts w:ascii="Arial" w:hAnsi="Arial" w:cs="Arial"/>
        <w:noProof/>
        <w:color w:val="808080"/>
        <w:sz w:val="20"/>
      </w:rPr>
      <w:t>4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56282" w14:textId="77777777" w:rsidR="00E95A0C" w:rsidRDefault="00E95A0C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5A1B7A6B" w14:textId="77777777" w:rsidR="00E95A0C" w:rsidRDefault="00E95A0C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50C"/>
    <w:rsid w:val="000A7B76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2F07B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199A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D4A89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2CA0"/>
    <w:rsid w:val="00BD4541"/>
    <w:rsid w:val="00BD47D7"/>
    <w:rsid w:val="00BE06F9"/>
    <w:rsid w:val="00BE18E9"/>
    <w:rsid w:val="00BF7AA8"/>
    <w:rsid w:val="00C00CC7"/>
    <w:rsid w:val="00C02500"/>
    <w:rsid w:val="00C06EE4"/>
    <w:rsid w:val="00C12C1B"/>
    <w:rsid w:val="00C15EC4"/>
    <w:rsid w:val="00C165C2"/>
    <w:rsid w:val="00C245DB"/>
    <w:rsid w:val="00C27864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95A0C"/>
    <w:rsid w:val="00EA06D0"/>
    <w:rsid w:val="00EA1332"/>
    <w:rsid w:val="00EA277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C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hagesdb.org/phages/Galax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6676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2018-05-10T17:56:00Z</dcterms:created>
  <dcterms:modified xsi:type="dcterms:W3CDTF">2018-05-10T17:56:00Z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