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34E144B" w:rsidR="006D1B4E" w:rsidRPr="009320C8" w:rsidRDefault="00300F03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300F03">
              <w:rPr>
                <w:rFonts w:ascii="Arial" w:hAnsi="Arial" w:cs="Arial"/>
                <w:b/>
                <w:i/>
                <w:sz w:val="36"/>
                <w:szCs w:val="36"/>
              </w:rPr>
              <w:t>2018.014B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5EE11BDF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62126A" w:rsidRPr="0062126A">
              <w:rPr>
                <w:rFonts w:ascii="Arial" w:hAnsi="Arial" w:cs="Arial"/>
                <w:b/>
                <w:i/>
              </w:rPr>
              <w:t>Jasminevirus</w:t>
            </w:r>
            <w:r w:rsidR="0062126A">
              <w:rPr>
                <w:rFonts w:ascii="Arial" w:hAnsi="Arial" w:cs="Arial"/>
                <w:b/>
              </w:rPr>
              <w:t xml:space="preserve">, containing two species in the family </w:t>
            </w:r>
            <w:r w:rsidR="0062126A">
              <w:rPr>
                <w:rFonts w:ascii="Arial" w:hAnsi="Arial" w:cs="Arial"/>
                <w:b/>
                <w:i/>
              </w:rPr>
              <w:t>Pod</w:t>
            </w:r>
            <w:r w:rsidR="0062126A" w:rsidRPr="0062126A">
              <w:rPr>
                <w:rFonts w:ascii="Arial" w:hAnsi="Arial" w:cs="Arial"/>
                <w:b/>
                <w:i/>
              </w:rPr>
              <w:t>oviridae</w:t>
            </w:r>
            <w:r w:rsidR="0062126A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089B769" w:rsidR="00422FF0" w:rsidRPr="009320C8" w:rsidRDefault="00300F03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72758E54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212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0F03" w:rsidRPr="00300F03">
              <w:rPr>
                <w:rFonts w:ascii="Arial" w:hAnsi="Arial" w:cs="Arial"/>
                <w:b/>
                <w:sz w:val="22"/>
                <w:szCs w:val="22"/>
              </w:rPr>
              <w:t>2018.014B</w:t>
            </w:r>
            <w:r w:rsidR="00300F03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bookmarkStart w:id="4" w:name="_GoBack"/>
            <w:bookmarkEnd w:id="4"/>
            <w:r w:rsidR="0062126A">
              <w:rPr>
                <w:rFonts w:ascii="Arial" w:hAnsi="Arial" w:cs="Arial"/>
                <w:b/>
                <w:sz w:val="22"/>
                <w:szCs w:val="22"/>
              </w:rPr>
              <w:t>Jasminevirus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4C29418D" w:rsidR="00384F60" w:rsidRPr="0062126A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62126A" w:rsidRPr="0062126A">
        <w:rPr>
          <w:rFonts w:ascii="Arial" w:hAnsi="Arial" w:cs="Arial"/>
          <w:sz w:val="20"/>
          <w:szCs w:val="20"/>
          <w:lang w:val="en-GB"/>
        </w:rPr>
        <w:t>The name is derived from the first isolated species</w:t>
      </w:r>
      <w:r w:rsidR="00844610">
        <w:rPr>
          <w:rFonts w:ascii="Arial" w:hAnsi="Arial" w:cs="Arial"/>
          <w:sz w:val="20"/>
          <w:szCs w:val="20"/>
          <w:lang w:val="en-GB"/>
        </w:rPr>
        <w:t xml:space="preserve"> </w:t>
      </w:r>
      <w:r w:rsidR="00844610" w:rsidRPr="00844610">
        <w:rPr>
          <w:rFonts w:ascii="Arial" w:hAnsi="Arial" w:cs="Arial"/>
          <w:sz w:val="20"/>
          <w:szCs w:val="20"/>
          <w:lang w:val="en-GB"/>
        </w:rPr>
        <w:t>Arthrobacter phage Jasmine</w:t>
      </w:r>
      <w:r w:rsidR="00844610">
        <w:rPr>
          <w:rFonts w:ascii="Arial" w:hAnsi="Arial" w:cs="Arial"/>
          <w:sz w:val="20"/>
          <w:szCs w:val="20"/>
          <w:lang w:val="en-GB"/>
        </w:rPr>
        <w:t>.</w:t>
      </w:r>
    </w:p>
    <w:p w14:paraId="186CAF47" w14:textId="77777777" w:rsidR="006C4A0C" w:rsidRPr="0062126A" w:rsidRDefault="006C4A0C" w:rsidP="00AC0E72">
      <w:pPr>
        <w:rPr>
          <w:lang w:val="en-GB"/>
        </w:rPr>
      </w:pPr>
    </w:p>
    <w:p w14:paraId="624EDD06" w14:textId="0543C224" w:rsidR="004B41FD" w:rsidRPr="004B41FD" w:rsidRDefault="009A6F42" w:rsidP="004B41FD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4B41F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bookmarkStart w:id="5" w:name="_Hlk508875100"/>
      <w:bookmarkStart w:id="6" w:name="_Hlk508874397"/>
      <w:r w:rsidR="004B41FD" w:rsidRPr="004B41FD">
        <w:rPr>
          <w:rFonts w:ascii="Arial" w:hAnsi="Arial" w:cs="Arial"/>
          <w:sz w:val="20"/>
          <w:szCs w:val="20"/>
          <w:lang w:val="en-GB"/>
        </w:rPr>
        <w:t>Arthrobacter phage Jasmine</w:t>
      </w:r>
      <w:bookmarkEnd w:id="5"/>
      <w:r w:rsidR="004B41FD" w:rsidRPr="004B41FD">
        <w:rPr>
          <w:rFonts w:ascii="Arial" w:hAnsi="Arial" w:cs="Arial"/>
          <w:sz w:val="20"/>
          <w:szCs w:val="20"/>
          <w:lang w:val="en-GB"/>
        </w:rPr>
        <w:t xml:space="preserve"> </w:t>
      </w:r>
      <w:bookmarkEnd w:id="6"/>
      <w:r w:rsidR="004B41FD" w:rsidRPr="004B41FD">
        <w:rPr>
          <w:rFonts w:ascii="Arial" w:hAnsi="Arial" w:cs="Arial"/>
          <w:sz w:val="20"/>
          <w:szCs w:val="20"/>
          <w:lang w:val="en-GB"/>
        </w:rPr>
        <w:t>was isolated by</w:t>
      </w:r>
      <w:r w:rsidR="004B41FD" w:rsidRPr="004B41F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B41FD" w:rsidRPr="004B41FD">
        <w:rPr>
          <w:rFonts w:ascii="Arial" w:hAnsi="Arial" w:cs="Arial"/>
          <w:sz w:val="20"/>
          <w:szCs w:val="20"/>
          <w:lang w:val="en-GB"/>
        </w:rPr>
        <w:t>Cassandra Ott</w:t>
      </w:r>
      <w:r w:rsidR="004B41FD">
        <w:rPr>
          <w:rFonts w:ascii="Arial" w:hAnsi="Arial" w:cs="Arial"/>
          <w:sz w:val="20"/>
          <w:szCs w:val="20"/>
          <w:lang w:val="en-GB"/>
        </w:rPr>
        <w:t xml:space="preserve"> in </w:t>
      </w:r>
      <w:r w:rsidR="004B41FD" w:rsidRPr="004B41FD">
        <w:rPr>
          <w:rFonts w:ascii="Arial" w:hAnsi="Arial" w:cs="Arial"/>
          <w:sz w:val="20"/>
          <w:szCs w:val="20"/>
          <w:lang w:val="en-GB"/>
        </w:rPr>
        <w:t>Pittsburgh, PA USA</w:t>
      </w:r>
      <w:r w:rsidR="004B41FD">
        <w:rPr>
          <w:rFonts w:ascii="Arial" w:hAnsi="Arial" w:cs="Arial"/>
          <w:sz w:val="20"/>
          <w:szCs w:val="20"/>
          <w:lang w:val="en-GB"/>
        </w:rPr>
        <w:t xml:space="preserve"> in 2014 as part of the </w:t>
      </w:r>
      <w:r w:rsidR="004B41FD" w:rsidRPr="004B41FD">
        <w:rPr>
          <w:rFonts w:ascii="Arial" w:hAnsi="Arial" w:cs="Arial"/>
          <w:sz w:val="20"/>
          <w:szCs w:val="20"/>
          <w:lang w:val="en-GB"/>
        </w:rPr>
        <w:t>Phage Hunters Integrating Research and Education Program</w:t>
      </w:r>
      <w:r w:rsidR="004B41FD">
        <w:rPr>
          <w:rFonts w:ascii="Arial" w:hAnsi="Arial" w:cs="Arial"/>
          <w:sz w:val="20"/>
          <w:szCs w:val="20"/>
          <w:lang w:val="en-GB"/>
        </w:rPr>
        <w:t xml:space="preserve"> using </w:t>
      </w:r>
      <w:r w:rsidR="004B41FD" w:rsidRPr="004B41FD">
        <w:rPr>
          <w:rFonts w:ascii="Arial" w:hAnsi="Arial" w:cs="Arial"/>
          <w:sz w:val="20"/>
          <w:szCs w:val="20"/>
          <w:lang w:val="en-GB"/>
        </w:rPr>
        <w:t>Arthrobacter sp. ATCC 21022</w:t>
      </w:r>
      <w:r w:rsidR="004B41FD">
        <w:rPr>
          <w:rFonts w:ascii="Arial" w:hAnsi="Arial" w:cs="Arial"/>
          <w:sz w:val="20"/>
          <w:szCs w:val="20"/>
          <w:lang w:val="en-GB"/>
        </w:rPr>
        <w:t xml:space="preserve"> as the host</w:t>
      </w:r>
      <w:r w:rsidR="00844610">
        <w:rPr>
          <w:rFonts w:ascii="Arial" w:hAnsi="Arial" w:cs="Arial"/>
          <w:sz w:val="20"/>
          <w:szCs w:val="20"/>
          <w:lang w:val="en-GB"/>
        </w:rPr>
        <w:t xml:space="preserve">. </w:t>
      </w:r>
      <w:r w:rsidR="004B41FD">
        <w:rPr>
          <w:rFonts w:ascii="Arial" w:hAnsi="Arial" w:cs="Arial"/>
          <w:sz w:val="20"/>
          <w:szCs w:val="20"/>
          <w:lang w:val="en-GB"/>
        </w:rPr>
        <w:t xml:space="preserve"> </w:t>
      </w:r>
      <w:r w:rsidR="00844610">
        <w:rPr>
          <w:rFonts w:ascii="Arial" w:hAnsi="Arial" w:cs="Arial"/>
          <w:sz w:val="20"/>
          <w:szCs w:val="20"/>
          <w:lang w:val="en-GB"/>
        </w:rPr>
        <w:t xml:space="preserve"> The genome of this lytic phage possesses </w:t>
      </w:r>
      <w:r w:rsidR="00844610" w:rsidRPr="00844610">
        <w:rPr>
          <w:rFonts w:ascii="Arial" w:hAnsi="Arial" w:cs="Arial"/>
          <w:sz w:val="20"/>
          <w:szCs w:val="20"/>
          <w:lang w:val="en-GB"/>
        </w:rPr>
        <w:t>1330 bp</w:t>
      </w:r>
      <w:r w:rsidR="00844610">
        <w:rPr>
          <w:rFonts w:ascii="Arial" w:hAnsi="Arial" w:cs="Arial"/>
          <w:sz w:val="20"/>
          <w:szCs w:val="20"/>
          <w:lang w:val="en-GB"/>
        </w:rPr>
        <w:t xml:space="preserve"> terminal repeats.</w:t>
      </w:r>
      <w:r w:rsidR="00ED5010">
        <w:rPr>
          <w:rFonts w:ascii="Arial" w:hAnsi="Arial" w:cs="Arial"/>
          <w:sz w:val="20"/>
          <w:szCs w:val="20"/>
          <w:lang w:val="en-GB"/>
        </w:rPr>
        <w:t xml:space="preserve">  This phage, and its relatives have been classified to Cluster AV in The Actinobacteriophage Database (</w:t>
      </w:r>
      <w:hyperlink r:id="rId9" w:history="1">
        <w:r w:rsidR="00ED5010" w:rsidRPr="00377AEC">
          <w:rPr>
            <w:rStyle w:val="Hyperlink"/>
            <w:rFonts w:ascii="Arial" w:hAnsi="Arial" w:cs="Arial"/>
            <w:sz w:val="20"/>
            <w:szCs w:val="20"/>
            <w:lang w:val="en-GB"/>
          </w:rPr>
          <w:t>http://phagesdb.org/clusters/AV/</w:t>
        </w:r>
      </w:hyperlink>
      <w:r w:rsidR="00ED5010">
        <w:rPr>
          <w:rFonts w:ascii="Arial" w:hAnsi="Arial" w:cs="Arial"/>
          <w:sz w:val="20"/>
          <w:szCs w:val="20"/>
          <w:lang w:val="en-GB"/>
        </w:rPr>
        <w:t>) 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63"/>
        <w:gridCol w:w="983"/>
        <w:gridCol w:w="978"/>
        <w:gridCol w:w="1010"/>
        <w:gridCol w:w="980"/>
        <w:gridCol w:w="1084"/>
      </w:tblGrid>
      <w:tr w:rsidR="0062126A" w:rsidRPr="008E7E3B" w14:paraId="74EE6D34" w14:textId="3DEFD3CC" w:rsidTr="0062126A">
        <w:tc>
          <w:tcPr>
            <w:tcW w:w="1451" w:type="dxa"/>
          </w:tcPr>
          <w:p w14:paraId="61BA04C0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63" w:type="dxa"/>
          </w:tcPr>
          <w:p w14:paraId="385514DD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349D0DDB" w14:textId="0425EA82" w:rsidR="0062126A" w:rsidRPr="008E7E3B" w:rsidRDefault="0062126A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% overall sequence identity</w:t>
            </w:r>
          </w:p>
        </w:tc>
      </w:tr>
      <w:tr w:rsidR="0062126A" w:rsidRPr="008E7E3B" w14:paraId="7986ECD9" w14:textId="08294EBF" w:rsidTr="0062126A">
        <w:tc>
          <w:tcPr>
            <w:tcW w:w="1451" w:type="dxa"/>
          </w:tcPr>
          <w:p w14:paraId="79E0649D" w14:textId="67FE4251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Jasmine</w:t>
            </w:r>
          </w:p>
        </w:tc>
        <w:tc>
          <w:tcPr>
            <w:tcW w:w="1463" w:type="dxa"/>
            <w:vAlign w:val="center"/>
          </w:tcPr>
          <w:p w14:paraId="3080DDA3" w14:textId="6CB5865E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26A">
              <w:t>KU160650.1</w:t>
            </w:r>
          </w:p>
        </w:tc>
        <w:tc>
          <w:tcPr>
            <w:tcW w:w="983" w:type="dxa"/>
            <w:vAlign w:val="center"/>
          </w:tcPr>
          <w:p w14:paraId="5AC380C4" w14:textId="3F340068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46.7</w:t>
            </w:r>
          </w:p>
        </w:tc>
        <w:tc>
          <w:tcPr>
            <w:tcW w:w="978" w:type="dxa"/>
            <w:vAlign w:val="center"/>
          </w:tcPr>
          <w:p w14:paraId="192FD525" w14:textId="04B707E9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45.9</w:t>
            </w:r>
          </w:p>
        </w:tc>
        <w:tc>
          <w:tcPr>
            <w:tcW w:w="1010" w:type="dxa"/>
            <w:vAlign w:val="center"/>
          </w:tcPr>
          <w:p w14:paraId="5B109C2B" w14:textId="7CB72931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57</w:t>
            </w:r>
          </w:p>
        </w:tc>
        <w:tc>
          <w:tcPr>
            <w:tcW w:w="980" w:type="dxa"/>
          </w:tcPr>
          <w:p w14:paraId="27441283" w14:textId="19B43BCF" w:rsidR="0062126A" w:rsidRPr="008E7E3B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33BEB41A" w14:textId="5DF623B1" w:rsidR="0062126A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62126A" w:rsidRPr="008E7E3B" w14:paraId="7B09B120" w14:textId="77777777" w:rsidTr="0062126A">
        <w:tc>
          <w:tcPr>
            <w:tcW w:w="1451" w:type="dxa"/>
          </w:tcPr>
          <w:p w14:paraId="55CCEB1D" w14:textId="38F55B8D" w:rsidR="0062126A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Adat</w:t>
            </w:r>
          </w:p>
        </w:tc>
        <w:tc>
          <w:tcPr>
            <w:tcW w:w="1463" w:type="dxa"/>
            <w:vAlign w:val="center"/>
          </w:tcPr>
          <w:p w14:paraId="3164A3F5" w14:textId="6B2EB196" w:rsidR="0062126A" w:rsidRPr="0062126A" w:rsidRDefault="0062126A" w:rsidP="0062126A">
            <w:r w:rsidRPr="0062126A">
              <w:t>MF668266.1</w:t>
            </w:r>
          </w:p>
        </w:tc>
        <w:tc>
          <w:tcPr>
            <w:tcW w:w="983" w:type="dxa"/>
            <w:vAlign w:val="center"/>
          </w:tcPr>
          <w:p w14:paraId="7CF2C178" w14:textId="32568675" w:rsidR="0062126A" w:rsidRDefault="0062126A" w:rsidP="0062126A">
            <w:r>
              <w:t>45.4</w:t>
            </w:r>
          </w:p>
        </w:tc>
        <w:tc>
          <w:tcPr>
            <w:tcW w:w="978" w:type="dxa"/>
            <w:vAlign w:val="center"/>
          </w:tcPr>
          <w:p w14:paraId="07F52623" w14:textId="0A8874DE" w:rsidR="0062126A" w:rsidRDefault="0062126A" w:rsidP="0062126A">
            <w:r>
              <w:t>45.7</w:t>
            </w:r>
          </w:p>
        </w:tc>
        <w:tc>
          <w:tcPr>
            <w:tcW w:w="1010" w:type="dxa"/>
            <w:vAlign w:val="center"/>
          </w:tcPr>
          <w:p w14:paraId="62C4C4D6" w14:textId="2FF82B69" w:rsidR="0062126A" w:rsidRDefault="0062126A" w:rsidP="0062126A">
            <w:r>
              <w:t>56</w:t>
            </w:r>
          </w:p>
        </w:tc>
        <w:tc>
          <w:tcPr>
            <w:tcW w:w="980" w:type="dxa"/>
          </w:tcPr>
          <w:p w14:paraId="31C02175" w14:textId="5EA62EEA" w:rsidR="0062126A" w:rsidRDefault="0062126A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32D04592" w14:textId="04CC591E" w:rsidR="0062126A" w:rsidRDefault="00ED5010" w:rsidP="006212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</w:tr>
    </w:tbl>
    <w:p w14:paraId="1C1480BB" w14:textId="74FC259E" w:rsidR="00C54C4D" w:rsidRPr="0062126A" w:rsidRDefault="0062126A" w:rsidP="00AC0E72">
      <w:pPr>
        <w:rPr>
          <w:rFonts w:ascii="Arial" w:hAnsi="Arial" w:cs="Arial"/>
          <w:sz w:val="20"/>
          <w:szCs w:val="20"/>
          <w:lang w:val="en-GB"/>
        </w:rPr>
      </w:pPr>
      <w:r w:rsidRPr="0062126A">
        <w:rPr>
          <w:rFonts w:ascii="Arial" w:hAnsi="Arial" w:cs="Arial"/>
          <w:sz w:val="20"/>
          <w:szCs w:val="20"/>
          <w:lang w:val="en-GB"/>
        </w:rPr>
        <w:t>N.B. Arthrobacter phage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62126A">
        <w:rPr>
          <w:rFonts w:ascii="Arial" w:hAnsi="Arial" w:cs="Arial"/>
          <w:sz w:val="20"/>
          <w:szCs w:val="20"/>
          <w:lang w:val="en-GB"/>
        </w:rPr>
        <w:t xml:space="preserve"> Nellie</w:t>
      </w:r>
      <w:r>
        <w:rPr>
          <w:rFonts w:ascii="Arial" w:hAnsi="Arial" w:cs="Arial"/>
          <w:sz w:val="20"/>
          <w:szCs w:val="20"/>
          <w:lang w:val="en-GB"/>
        </w:rPr>
        <w:t xml:space="preserve"> and GurgleFerb are strains of Adat.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333FA6ED" w:rsidR="00C74088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</w:t>
      </w:r>
      <w:r w:rsidRPr="00FA0684">
        <w:rPr>
          <w:rFonts w:ascii="Arial" w:hAnsi="Arial" w:cs="Arial"/>
          <w:b/>
          <w:color w:val="0000FF"/>
          <w:sz w:val="20"/>
          <w:szCs w:val="20"/>
          <w:lang w:val="en-GB"/>
        </w:rPr>
        <w:t>TN homologs</w:t>
      </w: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="0062126A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844610">
        <w:rPr>
          <w:rFonts w:ascii="Arial" w:hAnsi="Arial" w:cs="Arial"/>
          <w:sz w:val="20"/>
          <w:szCs w:val="20"/>
          <w:lang w:val="en-GB"/>
        </w:rPr>
        <w:t>T</w:t>
      </w:r>
      <w:r w:rsidR="0062126A">
        <w:rPr>
          <w:rFonts w:ascii="Arial" w:hAnsi="Arial" w:cs="Arial"/>
          <w:sz w:val="20"/>
          <w:szCs w:val="20"/>
          <w:lang w:val="en-GB"/>
        </w:rPr>
        <w:t xml:space="preserve">he closest BLAST homolog outside this group is </w:t>
      </w:r>
      <w:r w:rsidR="0062126A" w:rsidRPr="0062126A">
        <w:rPr>
          <w:rFonts w:ascii="Arial" w:hAnsi="Arial" w:cs="Arial"/>
          <w:sz w:val="20"/>
          <w:szCs w:val="20"/>
          <w:lang w:val="en-GB"/>
        </w:rPr>
        <w:t>Arthrobacter phage Nightmare</w:t>
      </w:r>
      <w:r w:rsidR="0062126A">
        <w:rPr>
          <w:rFonts w:ascii="Arial" w:hAnsi="Arial" w:cs="Arial"/>
          <w:sz w:val="20"/>
          <w:szCs w:val="20"/>
          <w:lang w:val="en-GB"/>
        </w:rPr>
        <w:t>.</w:t>
      </w:r>
    </w:p>
    <w:p w14:paraId="0363A33C" w14:textId="2079DD8F" w:rsidR="0062126A" w:rsidRDefault="0062126A" w:rsidP="00AC0E72">
      <w:pPr>
        <w:rPr>
          <w:rFonts w:ascii="Arial" w:hAnsi="Arial" w:cs="Arial"/>
          <w:sz w:val="20"/>
          <w:szCs w:val="20"/>
          <w:lang w:val="en-GB"/>
        </w:rPr>
      </w:pPr>
    </w:p>
    <w:p w14:paraId="13CF5B68" w14:textId="245C2643" w:rsidR="00ED5010" w:rsidRPr="001E7558" w:rsidRDefault="0062126A" w:rsidP="00ED5010">
      <w:pPr>
        <w:rPr>
          <w:rFonts w:ascii="Arial" w:hAnsi="Arial" w:cs="Arial"/>
          <w:sz w:val="20"/>
          <w:szCs w:val="20"/>
          <w:lang w:val="en-GB"/>
        </w:rPr>
      </w:pPr>
      <w:r w:rsidRPr="00FA0684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Electron micrograph:</w:t>
      </w:r>
      <w:r w:rsidR="00FA068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ED5010" w:rsidRPr="001E7558">
        <w:rPr>
          <w:rFonts w:ascii="Arial" w:hAnsi="Arial" w:cs="Arial"/>
          <w:sz w:val="20"/>
          <w:szCs w:val="20"/>
          <w:lang w:val="en-GB"/>
        </w:rPr>
        <w:t xml:space="preserve">Electron micrograph of negatively stained </w:t>
      </w:r>
      <w:r w:rsidR="001E7558" w:rsidRPr="001E7558">
        <w:rPr>
          <w:rFonts w:ascii="Arial" w:hAnsi="Arial" w:cs="Arial"/>
          <w:sz w:val="20"/>
          <w:szCs w:val="20"/>
          <w:lang w:val="en-GB"/>
        </w:rPr>
        <w:t xml:space="preserve">Arthrobacter phage Jasmine </w:t>
      </w:r>
      <w:r w:rsidR="001E7558">
        <w:rPr>
          <w:rFonts w:ascii="Arial" w:hAnsi="Arial" w:cs="Arial"/>
          <w:sz w:val="20"/>
          <w:szCs w:val="20"/>
          <w:lang w:val="en-GB"/>
        </w:rPr>
        <w:t>(http://phagesdb.org/phages/Jasmine</w:t>
      </w:r>
      <w:r w:rsidR="00ED5010" w:rsidRPr="001E7558">
        <w:rPr>
          <w:rFonts w:ascii="Arial" w:hAnsi="Arial" w:cs="Arial"/>
          <w:sz w:val="20"/>
          <w:szCs w:val="20"/>
          <w:lang w:val="en-GB"/>
        </w:rPr>
        <w:t>/) - Limited permission was granted by The</w:t>
      </w:r>
    </w:p>
    <w:p w14:paraId="14F25C3B" w14:textId="77777777" w:rsidR="00ED5010" w:rsidRPr="001E7558" w:rsidRDefault="00ED5010" w:rsidP="00ED5010">
      <w:pPr>
        <w:rPr>
          <w:rFonts w:ascii="Arial" w:hAnsi="Arial" w:cs="Arial"/>
          <w:sz w:val="20"/>
          <w:szCs w:val="20"/>
          <w:lang w:val="en-GB"/>
        </w:rPr>
      </w:pPr>
      <w:r w:rsidRPr="001E7558">
        <w:rPr>
          <w:rFonts w:ascii="Arial" w:hAnsi="Arial" w:cs="Arial"/>
          <w:sz w:val="20"/>
          <w:szCs w:val="20"/>
          <w:lang w:val="en-GB"/>
        </w:rPr>
        <w:t>Actinobacteriophages Database, funded by the Howard Hughes Medical Institute, to use this</w:t>
      </w:r>
    </w:p>
    <w:p w14:paraId="30C906CC" w14:textId="77777777" w:rsidR="00ED5010" w:rsidRPr="001E7558" w:rsidRDefault="00ED5010" w:rsidP="00ED5010">
      <w:pPr>
        <w:rPr>
          <w:rFonts w:ascii="Arial" w:hAnsi="Arial" w:cs="Arial"/>
          <w:sz w:val="20"/>
          <w:szCs w:val="20"/>
          <w:lang w:val="en-GB"/>
        </w:rPr>
      </w:pPr>
      <w:r w:rsidRPr="001E7558">
        <w:rPr>
          <w:rFonts w:ascii="Arial" w:hAnsi="Arial" w:cs="Arial"/>
          <w:sz w:val="20"/>
          <w:szCs w:val="20"/>
          <w:lang w:val="en-GB"/>
        </w:rPr>
        <w:t>electron micrograph for this taxonomy proposal; it cannot be reused without permission of The</w:t>
      </w:r>
    </w:p>
    <w:p w14:paraId="7E358997" w14:textId="2B167EE7" w:rsidR="0062126A" w:rsidRPr="00ED5010" w:rsidRDefault="00ED5010" w:rsidP="00ED5010">
      <w:pPr>
        <w:rPr>
          <w:rFonts w:ascii="Arial" w:hAnsi="Arial" w:cs="Arial"/>
          <w:sz w:val="20"/>
          <w:szCs w:val="20"/>
          <w:lang w:val="en-GB"/>
        </w:rPr>
      </w:pPr>
      <w:r w:rsidRPr="001E7558">
        <w:rPr>
          <w:rFonts w:ascii="Arial" w:hAnsi="Arial" w:cs="Arial"/>
          <w:sz w:val="20"/>
          <w:szCs w:val="20"/>
          <w:lang w:val="en-GB"/>
        </w:rPr>
        <w:t>Actinobacteriophages Database.</w:t>
      </w:r>
    </w:p>
    <w:p w14:paraId="627DBE97" w14:textId="0D05A184" w:rsidR="004B41FD" w:rsidRDefault="004B41F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C1205B1" w14:textId="06BEFE79" w:rsidR="004B41FD" w:rsidRPr="00FA0684" w:rsidRDefault="004B41F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>
        <w:rPr>
          <w:rFonts w:ascii="Arial" w:hAnsi="Arial" w:cs="Arial"/>
          <w:b/>
          <w:noProof/>
          <w:color w:val="0000FF"/>
          <w:sz w:val="20"/>
          <w:szCs w:val="20"/>
          <w:lang w:val="en-GB" w:eastAsia="en-GB"/>
        </w:rPr>
        <w:drawing>
          <wp:inline distT="0" distB="0" distL="0" distR="0" wp14:anchorId="68352E76" wp14:editId="69761A41">
            <wp:extent cx="2311718" cy="1677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smine_8 small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718" cy="16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27A8664B" w:rsidR="00C74088" w:rsidRPr="00784D52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784D5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84D52" w:rsidRPr="00784D52">
        <w:rPr>
          <w:rFonts w:ascii="Arial" w:hAnsi="Arial" w:cs="Arial"/>
          <w:sz w:val="20"/>
          <w:szCs w:val="20"/>
          <w:lang w:val="en-GB"/>
        </w:rPr>
        <w:t>The phylogenetic tree was constructed, using phylogeny.fr, using the major capsid protein homologs of these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130ED937" w:rsidR="009320C8" w:rsidRDefault="00784D52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D31F" wp14:editId="693F9E1E">
                <wp:simplePos x="0" y="0"/>
                <wp:positionH relativeFrom="column">
                  <wp:posOffset>746760</wp:posOffset>
                </wp:positionH>
                <wp:positionV relativeFrom="paragraph">
                  <wp:posOffset>681355</wp:posOffset>
                </wp:positionV>
                <wp:extent cx="3002280" cy="609600"/>
                <wp:effectExtent l="19050" t="1905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F44CA" id="Rectangle 4" o:spid="_x0000_s1026" style="position:absolute;margin-left:58.8pt;margin-top:53.65pt;width:236.4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242E457" wp14:editId="2AE972BF">
            <wp:extent cx="6007735" cy="1593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smine phylogenetic tree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4D75D301" w:rsidR="00AA601F" w:rsidRDefault="0062126A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3D57E" w14:textId="77777777" w:rsidR="00F34865" w:rsidRDefault="00F34865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2D7BED7C" w14:textId="77777777" w:rsidR="00F34865" w:rsidRDefault="00F34865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300F03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300F03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5FEE8" w14:textId="77777777" w:rsidR="00F34865" w:rsidRDefault="00F34865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76AA957B" w14:textId="77777777" w:rsidR="00F34865" w:rsidRDefault="00F34865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558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0F03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41FD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126A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4D5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44610"/>
    <w:rsid w:val="008563BE"/>
    <w:rsid w:val="008655D6"/>
    <w:rsid w:val="00872088"/>
    <w:rsid w:val="0087599F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D5010"/>
    <w:rsid w:val="00EF6615"/>
    <w:rsid w:val="00EF7D67"/>
    <w:rsid w:val="00F00D95"/>
    <w:rsid w:val="00F038BC"/>
    <w:rsid w:val="00F050DB"/>
    <w:rsid w:val="00F071D8"/>
    <w:rsid w:val="00F31A99"/>
    <w:rsid w:val="00F343F2"/>
    <w:rsid w:val="00F34865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068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0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hagesdb.org/clusters/A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5084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2018-05-09T18:46:00Z</dcterms:created>
  <dcterms:modified xsi:type="dcterms:W3CDTF">2018-05-09T18:46:00Z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