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6935F" w14:textId="77777777" w:rsidR="00AA601F" w:rsidRDefault="0080658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52B7EE70" wp14:editId="75432F01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920903C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314A16D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025B86DC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C515B59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2A2C5E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74F4E41C" w14:textId="77777777" w:rsidR="00AA1E2F" w:rsidRPr="009320C8" w:rsidRDefault="00CF3890" w:rsidP="00E359A5">
      <w:pPr>
        <w:outlineLvl w:val="0"/>
        <w:rPr>
          <w:rFonts w:ascii="Arial" w:hAnsi="Arial" w:cs="Arial"/>
          <w:sz w:val="22"/>
          <w:szCs w:val="22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71DFEC2F" w14:textId="77777777" w:rsidR="00AA1E2F" w:rsidRPr="009320C8" w:rsidRDefault="00AA1E2F" w:rsidP="006D1B4E">
      <w:pPr>
        <w:rPr>
          <w:rFonts w:ascii="Arial" w:hAnsi="Arial" w:cs="Arial"/>
          <w:sz w:val="22"/>
          <w:szCs w:val="22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5A20AD99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74BFC9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4D79" w14:textId="42CE60B4" w:rsidR="006D1B4E" w:rsidRPr="009320C8" w:rsidRDefault="005C012B" w:rsidP="005C012B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5C012B">
              <w:rPr>
                <w:rFonts w:ascii="Arial" w:hAnsi="Arial" w:cs="Arial"/>
                <w:b/>
                <w:i/>
                <w:sz w:val="36"/>
                <w:szCs w:val="36"/>
              </w:rPr>
              <w:t>2018.013S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F16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2F5261A4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2B0BFF8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41C14A76" w14:textId="3A1A7ABB" w:rsidR="00CF0A9B" w:rsidRPr="009223ED" w:rsidRDefault="009223ED" w:rsidP="00CF0A9B">
            <w:pPr>
              <w:spacing w:before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Create </w:t>
            </w:r>
            <w:r w:rsidR="00C0314E">
              <w:rPr>
                <w:rFonts w:ascii="Arial" w:hAnsi="Arial" w:cs="Arial"/>
                <w:b/>
              </w:rPr>
              <w:t xml:space="preserve">a </w:t>
            </w:r>
            <w:r>
              <w:rPr>
                <w:rFonts w:ascii="Arial" w:hAnsi="Arial" w:cs="Arial"/>
                <w:b/>
              </w:rPr>
              <w:t xml:space="preserve">new family </w:t>
            </w:r>
            <w:r w:rsidR="0017061A">
              <w:rPr>
                <w:rFonts w:ascii="Arial" w:hAnsi="Arial" w:cs="Arial"/>
                <w:b/>
                <w:i/>
              </w:rPr>
              <w:t>Maton</w:t>
            </w:r>
            <w:r w:rsidR="00E359A5">
              <w:rPr>
                <w:rFonts w:ascii="Arial" w:hAnsi="Arial" w:cs="Arial"/>
                <w:b/>
                <w:i/>
              </w:rPr>
              <w:t>a</w:t>
            </w:r>
            <w:r>
              <w:rPr>
                <w:rFonts w:ascii="Arial" w:hAnsi="Arial" w:cs="Arial"/>
                <w:b/>
                <w:i/>
              </w:rPr>
              <w:t>viridae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3250E">
              <w:rPr>
                <w:rFonts w:ascii="Arial" w:hAnsi="Arial" w:cs="Arial"/>
                <w:b/>
              </w:rPr>
              <w:t xml:space="preserve">to include </w:t>
            </w:r>
            <w:r w:rsidR="00C0314E">
              <w:rPr>
                <w:rFonts w:ascii="Arial" w:hAnsi="Arial" w:cs="Arial"/>
                <w:b/>
              </w:rPr>
              <w:t xml:space="preserve">the </w:t>
            </w:r>
            <w:r>
              <w:rPr>
                <w:rFonts w:ascii="Arial" w:hAnsi="Arial" w:cs="Arial"/>
                <w:b/>
              </w:rPr>
              <w:t xml:space="preserve">genus </w:t>
            </w:r>
            <w:r>
              <w:rPr>
                <w:rFonts w:ascii="Arial" w:hAnsi="Arial" w:cs="Arial"/>
                <w:b/>
                <w:i/>
              </w:rPr>
              <w:t>Rubivirus</w:t>
            </w:r>
            <w:r w:rsidR="00181622">
              <w:rPr>
                <w:rFonts w:ascii="Arial" w:hAnsi="Arial" w:cs="Arial"/>
                <w:b/>
              </w:rPr>
              <w:t xml:space="preserve">, removed </w:t>
            </w:r>
            <w:r>
              <w:rPr>
                <w:rFonts w:ascii="Arial" w:hAnsi="Arial" w:cs="Arial"/>
                <w:b/>
              </w:rPr>
              <w:t xml:space="preserve">from </w:t>
            </w:r>
            <w:r w:rsidR="00306ADB">
              <w:rPr>
                <w:rFonts w:ascii="Arial" w:hAnsi="Arial" w:cs="Arial"/>
                <w:b/>
              </w:rPr>
              <w:t xml:space="preserve">the </w:t>
            </w:r>
            <w:r>
              <w:rPr>
                <w:rFonts w:ascii="Arial" w:hAnsi="Arial" w:cs="Arial"/>
                <w:b/>
              </w:rPr>
              <w:t xml:space="preserve">family </w:t>
            </w:r>
            <w:r>
              <w:rPr>
                <w:rFonts w:ascii="Arial" w:hAnsi="Arial" w:cs="Arial"/>
                <w:b/>
                <w:i/>
              </w:rPr>
              <w:t>Togaviridae</w:t>
            </w:r>
          </w:p>
        </w:tc>
      </w:tr>
      <w:tr w:rsidR="00CF0A9B" w:rsidRPr="001E492D" w14:paraId="5D14E937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78A314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72A673D1" w14:textId="77777777">
        <w:tc>
          <w:tcPr>
            <w:tcW w:w="9468" w:type="dxa"/>
            <w:gridSpan w:val="4"/>
          </w:tcPr>
          <w:p w14:paraId="0643D09B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40CCB14F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AE4" w14:textId="5598D3CC" w:rsidR="00636B14" w:rsidRPr="009320C8" w:rsidRDefault="003419C7" w:rsidP="003419C7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t xml:space="preserve">Rubing Chen, </w:t>
            </w:r>
            <w:r w:rsidRPr="00844093">
              <w:t>Suchetana Mukhopadhyay</w:t>
            </w:r>
            <w:r>
              <w:t>, Andres Merits, Bethany Bolling, Farooq Nasar, Lark L. Coffey, Ann Powers</w:t>
            </w:r>
            <w:r w:rsidR="0017061A">
              <w:t>,</w:t>
            </w:r>
            <w:r>
              <w:t xml:space="preserve">  Scott C. Weaver</w:t>
            </w:r>
            <w:r w:rsidR="0017061A">
              <w:t xml:space="preserve">, </w:t>
            </w:r>
            <w:r w:rsidR="00E359A5">
              <w:t xml:space="preserve">Donald Smith, </w:t>
            </w:r>
            <w:r w:rsidR="0017061A">
              <w:t>Peter Simmonds</w:t>
            </w:r>
            <w:r w:rsidR="008B45C5">
              <w:t xml:space="preserve"> and Stuart Siddell</w:t>
            </w:r>
          </w:p>
        </w:tc>
      </w:tr>
      <w:tr w:rsidR="00CE5ECF" w:rsidRPr="009320C8" w14:paraId="2936447B" w14:textId="77777777" w:rsidTr="003B1954">
        <w:tc>
          <w:tcPr>
            <w:tcW w:w="9468" w:type="dxa"/>
            <w:gridSpan w:val="4"/>
          </w:tcPr>
          <w:p w14:paraId="07BAED82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41DAF3E7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FBA0" w14:textId="77777777" w:rsidR="00CE5ECF" w:rsidRPr="009320C8" w:rsidRDefault="003419C7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t xml:space="preserve">Rubing Chen, </w:t>
            </w:r>
            <w:r w:rsidRPr="003419C7">
              <w:t>rubing.chen@gmail.com</w:t>
            </w:r>
          </w:p>
        </w:tc>
      </w:tr>
      <w:tr w:rsidR="00D1634C" w:rsidRPr="009320C8" w14:paraId="2FFA17C9" w14:textId="77777777">
        <w:tc>
          <w:tcPr>
            <w:tcW w:w="9468" w:type="dxa"/>
            <w:gridSpan w:val="4"/>
          </w:tcPr>
          <w:p w14:paraId="07CBC967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0DE28F7B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49AC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9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022E" w14:textId="77777777" w:rsidR="00D1634C" w:rsidRPr="009223ED" w:rsidRDefault="003419C7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Togaviridae</w:t>
            </w:r>
            <w:r w:rsidR="009223ED">
              <w:rPr>
                <w:rFonts w:ascii="Arial" w:hAnsi="Arial" w:cs="Arial"/>
                <w:b/>
                <w:i/>
              </w:rPr>
              <w:t xml:space="preserve"> </w:t>
            </w:r>
            <w:r w:rsidR="009223ED">
              <w:rPr>
                <w:rFonts w:ascii="Arial" w:hAnsi="Arial" w:cs="Arial"/>
                <w:b/>
              </w:rPr>
              <w:t xml:space="preserve"> SG</w:t>
            </w:r>
          </w:p>
        </w:tc>
      </w:tr>
      <w:tr w:rsidR="00AA3952" w:rsidRPr="009320C8" w14:paraId="7202DF1F" w14:textId="77777777">
        <w:trPr>
          <w:tblHeader/>
        </w:trPr>
        <w:tc>
          <w:tcPr>
            <w:tcW w:w="9468" w:type="dxa"/>
            <w:gridSpan w:val="4"/>
          </w:tcPr>
          <w:p w14:paraId="47A72352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111AE3E0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369C66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0181C0EF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4FA4D4BA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5E3DBBA5" w14:textId="77777777" w:rsidTr="00C15EC4">
        <w:trPr>
          <w:trHeight w:val="270"/>
        </w:trPr>
        <w:tc>
          <w:tcPr>
            <w:tcW w:w="5786" w:type="dxa"/>
            <w:gridSpan w:val="3"/>
          </w:tcPr>
          <w:p w14:paraId="69D350BC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6ACD3A2D" w14:textId="50A9688C" w:rsidR="00422FF0" w:rsidRPr="009320C8" w:rsidRDefault="005C012B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605C0DC8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015486FB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22CAFD1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4689A05D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4A299934" w14:textId="77777777" w:rsidTr="003B1954">
        <w:tc>
          <w:tcPr>
            <w:tcW w:w="9468" w:type="dxa"/>
          </w:tcPr>
          <w:p w14:paraId="28D9E4C1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19736E8C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389B" w14:textId="52931997" w:rsidR="00CE5ECF" w:rsidRPr="00074EE8" w:rsidRDefault="00074EE8" w:rsidP="00074EE8">
            <w:r w:rsidRPr="00784F30">
              <w:t>Members of the M</w:t>
            </w:r>
            <w:r w:rsidRPr="00784F30">
              <w:rPr>
                <w:i/>
              </w:rPr>
              <w:t>atonaviridae</w:t>
            </w:r>
            <w:r w:rsidRPr="00784F30">
              <w:t xml:space="preserve"> have an RNA genome and use cognate RNA-dependent RNA polymerases (RdRps) for replication. Thus, they should be assigned to the realm </w:t>
            </w:r>
            <w:r w:rsidRPr="001D0909">
              <w:rPr>
                <w:i/>
              </w:rPr>
              <w:t>Riboviria</w:t>
            </w:r>
            <w:r>
              <w:rPr>
                <w:i/>
              </w:rPr>
              <w:t>.</w:t>
            </w:r>
          </w:p>
        </w:tc>
      </w:tr>
    </w:tbl>
    <w:p w14:paraId="7C64BB56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3F73C136" w14:textId="77777777" w:rsidR="00034DE5" w:rsidRPr="009320C8" w:rsidRDefault="006B2EE7" w:rsidP="00E359A5">
      <w:pPr>
        <w:pStyle w:val="BodyTextIndent"/>
        <w:spacing w:after="120"/>
        <w:ind w:left="0" w:firstLine="0"/>
        <w:outlineLvl w:val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56C80EE8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5385C315" w14:textId="77777777">
        <w:trPr>
          <w:tblHeader/>
        </w:trPr>
        <w:tc>
          <w:tcPr>
            <w:tcW w:w="9468" w:type="dxa"/>
          </w:tcPr>
          <w:p w14:paraId="53F0AF66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52610299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9CD1A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205E3B6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5A1AD4C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6EAD858A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11E8F6CC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150A6BC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E193DBB" w14:textId="77777777" w:rsidR="009F32F7" w:rsidRPr="009320C8" w:rsidRDefault="006B2EE7" w:rsidP="00E359A5">
      <w:pPr>
        <w:pStyle w:val="BodyTextIndent"/>
        <w:ind w:left="0" w:firstLine="0"/>
        <w:outlineLvl w:val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9621B0F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9216B87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3B4C61F" w14:textId="13BFBB2D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9223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012B" w:rsidRPr="005C012B">
              <w:rPr>
                <w:rFonts w:ascii="Arial" w:hAnsi="Arial" w:cs="Arial"/>
                <w:b/>
                <w:sz w:val="22"/>
                <w:szCs w:val="22"/>
              </w:rPr>
              <w:t>2018.013S.N.v1.Matonaviridae</w:t>
            </w:r>
          </w:p>
        </w:tc>
      </w:tr>
    </w:tbl>
    <w:p w14:paraId="5226F2D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3B3EB896" w14:textId="77777777" w:rsidR="008A612E" w:rsidRPr="009320C8" w:rsidRDefault="00AA601F" w:rsidP="00E359A5">
      <w:pPr>
        <w:pStyle w:val="BodyTextIndent"/>
        <w:ind w:left="0" w:firstLine="0"/>
        <w:outlineLvl w:val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C922C2D" w14:textId="77777777" w:rsidTr="00AA601F">
        <w:trPr>
          <w:trHeight w:val="266"/>
          <w:tblHeader/>
        </w:trPr>
        <w:tc>
          <w:tcPr>
            <w:tcW w:w="9228" w:type="dxa"/>
          </w:tcPr>
          <w:p w14:paraId="703C18D9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79718EB2" w14:textId="77777777" w:rsidTr="001E59C1">
        <w:trPr>
          <w:trHeight w:val="1566"/>
        </w:trPr>
        <w:tc>
          <w:tcPr>
            <w:tcW w:w="9228" w:type="dxa"/>
          </w:tcPr>
          <w:p w14:paraId="1EB59131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368FCC49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59CCAEF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2B22186E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560FF320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3CEEF12F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35A77AC1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751D206B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147C3D2D" w14:textId="3A87EB5E" w:rsidR="00E47DA9" w:rsidRDefault="009223ED" w:rsidP="00AC0E72">
      <w:r>
        <w:t xml:space="preserve">The family </w:t>
      </w:r>
      <w:r>
        <w:rPr>
          <w:i/>
        </w:rPr>
        <w:t>Togaviridae</w:t>
      </w:r>
      <w:r>
        <w:t xml:space="preserve"> currently includes two genera; </w:t>
      </w:r>
      <w:r>
        <w:rPr>
          <w:i/>
        </w:rPr>
        <w:t>Alphavirus</w:t>
      </w:r>
      <w:r>
        <w:t xml:space="preserve"> and </w:t>
      </w:r>
      <w:r>
        <w:rPr>
          <w:i/>
        </w:rPr>
        <w:t>Rubivirus</w:t>
      </w:r>
      <w:r>
        <w:t xml:space="preserve">, the latter including the single species </w:t>
      </w:r>
      <w:r>
        <w:rPr>
          <w:i/>
        </w:rPr>
        <w:t>Rubella virus</w:t>
      </w:r>
      <w:r>
        <w:t xml:space="preserve">. The assignment of rubella virus to </w:t>
      </w:r>
      <w:r>
        <w:rPr>
          <w:i/>
        </w:rPr>
        <w:t>Togaviridae</w:t>
      </w:r>
      <w:r>
        <w:t xml:space="preserve"> was </w:t>
      </w:r>
      <w:r w:rsidR="008F203A">
        <w:t>made in 1975 (Fenner et al., 1974</w:t>
      </w:r>
      <w:r w:rsidR="00306ADB">
        <w:t xml:space="preserve">) </w:t>
      </w:r>
      <w:r w:rsidR="008F203A">
        <w:t xml:space="preserve">when </w:t>
      </w:r>
      <w:r w:rsidR="00306ADB">
        <w:t>inclusion to the family</w:t>
      </w:r>
      <w:r w:rsidR="008F203A">
        <w:t xml:space="preserve"> was </w:t>
      </w:r>
      <w:r>
        <w:t xml:space="preserve">based on </w:t>
      </w:r>
      <w:r w:rsidR="00E47DA9">
        <w:t xml:space="preserve">the following definition that corresponded to knowledge at that time: </w:t>
      </w:r>
    </w:p>
    <w:p w14:paraId="7D439A38" w14:textId="77777777" w:rsidR="00E47DA9" w:rsidRDefault="00E47DA9" w:rsidP="00AC0E72"/>
    <w:p w14:paraId="2580635C" w14:textId="260C222D" w:rsidR="00E47DA9" w:rsidRDefault="008B45C5" w:rsidP="00E47DA9">
      <w:r>
        <w:rPr>
          <w:i/>
        </w:rPr>
        <w:t>‘</w:t>
      </w:r>
      <w:r w:rsidR="00E47DA9" w:rsidRPr="008B45C5">
        <w:rPr>
          <w:i/>
        </w:rPr>
        <w:t>Virions contain single-stranded RNA, 3</w:t>
      </w:r>
      <w:r w:rsidR="00E47DA9">
        <w:rPr>
          <w:i/>
        </w:rPr>
        <w:t xml:space="preserve"> </w:t>
      </w:r>
      <w:r w:rsidR="00E47DA9" w:rsidRPr="008B45C5">
        <w:rPr>
          <w:i/>
        </w:rPr>
        <w:t>x 10</w:t>
      </w:r>
      <w:r w:rsidR="00E47DA9" w:rsidRPr="008B45C5">
        <w:rPr>
          <w:i/>
          <w:vertAlign w:val="superscript"/>
        </w:rPr>
        <w:t>6</w:t>
      </w:r>
      <w:r w:rsidR="00E47DA9" w:rsidRPr="008B45C5">
        <w:rPr>
          <w:i/>
        </w:rPr>
        <w:t xml:space="preserve"> to 4</w:t>
      </w:r>
      <w:r w:rsidR="00E47DA9">
        <w:rPr>
          <w:i/>
        </w:rPr>
        <w:t xml:space="preserve"> </w:t>
      </w:r>
      <w:r w:rsidR="00E47DA9" w:rsidRPr="008B45C5">
        <w:rPr>
          <w:i/>
        </w:rPr>
        <w:t>x 10</w:t>
      </w:r>
      <w:r w:rsidR="00E47DA9" w:rsidRPr="008B45C5">
        <w:rPr>
          <w:i/>
          <w:vertAlign w:val="superscript"/>
        </w:rPr>
        <w:t>6</w:t>
      </w:r>
      <w:r w:rsidR="00E47DA9" w:rsidRPr="008B45C5">
        <w:rPr>
          <w:i/>
        </w:rPr>
        <w:t xml:space="preserve"> daltons, have isometric, probably icosahedral, nucleocapsids surrounded by a lipoprotein envelope containing host cell lipid and virus-specified polypeptides including one or more glycopeptides. Virions yield infectious RNA’</w:t>
      </w:r>
      <w:r w:rsidR="00E47DA9" w:rsidRPr="00E47DA9">
        <w:t>.</w:t>
      </w:r>
    </w:p>
    <w:p w14:paraId="49709491" w14:textId="77777777" w:rsidR="00E47DA9" w:rsidRDefault="00E47DA9" w:rsidP="00E47DA9"/>
    <w:p w14:paraId="0C75C794" w14:textId="77777777" w:rsidR="00CE3169" w:rsidRDefault="008F203A" w:rsidP="00AC0E72">
      <w:r>
        <w:t>However, in many other respects members of the</w:t>
      </w:r>
      <w:r w:rsidR="00CE3169">
        <w:t xml:space="preserve"> two genera are quite distinct:</w:t>
      </w:r>
    </w:p>
    <w:p w14:paraId="1D76243A" w14:textId="77777777" w:rsidR="00F86E88" w:rsidRPr="00F86E88" w:rsidRDefault="00F86E88" w:rsidP="00F86E88"/>
    <w:p w14:paraId="58588608" w14:textId="68D9A89B" w:rsidR="00AC0E72" w:rsidRDefault="008F203A" w:rsidP="00CE3169">
      <w:pPr>
        <w:pStyle w:val="ListParagraph"/>
        <w:numPr>
          <w:ilvl w:val="0"/>
          <w:numId w:val="25"/>
        </w:numPr>
      </w:pPr>
      <w:r w:rsidRPr="00CE3169">
        <w:t>Alphaviruses are typically transmitted between vertebrate hosts by arthropods</w:t>
      </w:r>
      <w:r w:rsidR="00A1043D" w:rsidRPr="00CE3169">
        <w:t xml:space="preserve"> (although viruses of sea mammals and fish have no known vector)</w:t>
      </w:r>
      <w:r w:rsidRPr="00CE3169">
        <w:t>, or only infect arthropods</w:t>
      </w:r>
      <w:r w:rsidR="00E47DA9">
        <w:t xml:space="preserve">. </w:t>
      </w:r>
      <w:r w:rsidR="008B45C5">
        <w:t>In c</w:t>
      </w:r>
      <w:r w:rsidR="00E47DA9">
        <w:t xml:space="preserve">ontrast, rubella virus is </w:t>
      </w:r>
      <w:r w:rsidRPr="00CE3169">
        <w:t xml:space="preserve">confined to humans and </w:t>
      </w:r>
      <w:r w:rsidR="00E47DA9">
        <w:t xml:space="preserve">is </w:t>
      </w:r>
      <w:r w:rsidRPr="00CE3169">
        <w:t xml:space="preserve">transmitted by inhalation of respiratory aerosols. </w:t>
      </w:r>
    </w:p>
    <w:p w14:paraId="571ACD40" w14:textId="77777777" w:rsidR="00CE3169" w:rsidRDefault="00CE3169" w:rsidP="00CE3169">
      <w:pPr>
        <w:pStyle w:val="ListParagraph"/>
      </w:pPr>
    </w:p>
    <w:p w14:paraId="3A41031E" w14:textId="37603AB7" w:rsidR="00AA601F" w:rsidRPr="00F86E88" w:rsidRDefault="008F203A" w:rsidP="00AC0E72">
      <w:pPr>
        <w:pStyle w:val="ListParagraph"/>
        <w:numPr>
          <w:ilvl w:val="0"/>
          <w:numId w:val="25"/>
        </w:numPr>
      </w:pPr>
      <w:r>
        <w:t>Alphaviruses are spherical, about 70 nm in diameter. Particles contain a distinct icosahedral core and icosahedral glycoprotein layer (Li et al., 2010). In contrast, rubella virus particles are pleomorphic, often tube-like, and do not have icosahedral symmetry</w:t>
      </w:r>
      <w:r w:rsidR="00E47DA9">
        <w:t xml:space="preserve"> (and in retrospect do not follow th</w:t>
      </w:r>
      <w:r w:rsidR="00306ADB">
        <w:t>e</w:t>
      </w:r>
      <w:r w:rsidR="00E47DA9">
        <w:t xml:space="preserve"> original criterion </w:t>
      </w:r>
      <w:r w:rsidR="00306ADB">
        <w:t>for inclusion</w:t>
      </w:r>
      <w:r w:rsidR="00E47DA9">
        <w:t xml:space="preserve"> in the </w:t>
      </w:r>
      <w:r w:rsidR="00E47DA9">
        <w:rPr>
          <w:i/>
        </w:rPr>
        <w:t xml:space="preserve">Togaviridae </w:t>
      </w:r>
      <w:r w:rsidR="008B45C5">
        <w:t>from</w:t>
      </w:r>
      <w:r w:rsidR="00E47DA9">
        <w:t xml:space="preserve"> </w:t>
      </w:r>
      <w:r w:rsidR="008B45C5">
        <w:t xml:space="preserve">Fenner et al., </w:t>
      </w:r>
      <w:r w:rsidR="00E47DA9">
        <w:t>1974)</w:t>
      </w:r>
      <w:r>
        <w:t xml:space="preserve">. Rubella virus capsid proteins form homodimers in a grid-like pattern </w:t>
      </w:r>
      <w:r>
        <w:lastRenderedPageBreak/>
        <w:t>and the glycoproteins are arranged in rows on the virion surface (Mangala Prasad et al., 2017).</w:t>
      </w:r>
    </w:p>
    <w:p w14:paraId="6B215AD5" w14:textId="77777777" w:rsidR="00F86E88" w:rsidRPr="00F86E88" w:rsidRDefault="00F86E88" w:rsidP="00F86E88">
      <w:pPr>
        <w:pStyle w:val="ListParagraph"/>
      </w:pPr>
    </w:p>
    <w:p w14:paraId="12F5192E" w14:textId="77777777" w:rsidR="00DF2A52" w:rsidRPr="00DF2A52" w:rsidRDefault="00DF2A52" w:rsidP="00DF2A52">
      <w:pPr>
        <w:pStyle w:val="ListParagraph"/>
        <w:numPr>
          <w:ilvl w:val="0"/>
          <w:numId w:val="25"/>
        </w:numPr>
        <w:spacing w:before="240"/>
      </w:pPr>
      <w:r w:rsidRPr="00DF2A52">
        <w:t xml:space="preserve">Rubella virus amino acid sequences are most closely related to those of viruses outwith the family </w:t>
      </w:r>
      <w:r w:rsidRPr="00DF2A52">
        <w:rPr>
          <w:i/>
        </w:rPr>
        <w:t>Togaviridae</w:t>
      </w:r>
      <w:r w:rsidRPr="00DF2A52">
        <w:t>. For example, rubella virus is most closely related to beet necrotic yellow vein virus (</w:t>
      </w:r>
      <w:r w:rsidRPr="00DF2A52">
        <w:rPr>
          <w:i/>
        </w:rPr>
        <w:t>Benyviridae</w:t>
      </w:r>
      <w:r w:rsidRPr="00DF2A52">
        <w:t>) and hepatitis E virus (</w:t>
      </w:r>
      <w:r w:rsidRPr="00DF2A52">
        <w:rPr>
          <w:i/>
        </w:rPr>
        <w:t>Hepeviridae</w:t>
      </w:r>
      <w:r w:rsidRPr="00DF2A52">
        <w:t xml:space="preserve">) on the basis of amino acid homology in the helicase and replicase regions of the nonstructural proteins </w:t>
      </w:r>
      <w:r>
        <w:t>(</w:t>
      </w:r>
      <w:r w:rsidRPr="00422387">
        <w:t xml:space="preserve">Koonin, </w:t>
      </w:r>
      <w:r>
        <w:t xml:space="preserve">&amp; </w:t>
      </w:r>
      <w:r w:rsidRPr="00422387">
        <w:t>Dolja. 1993</w:t>
      </w:r>
      <w:r>
        <w:t xml:space="preserve">, Weaver et al., 1993). A tBLASTx search of Genbank using the rubella genome sequence gives the closest matches as unclassified viruses in the families </w:t>
      </w:r>
      <w:r w:rsidRPr="00DF2A52">
        <w:rPr>
          <w:i/>
        </w:rPr>
        <w:t>Hepeviridae</w:t>
      </w:r>
      <w:r>
        <w:t xml:space="preserve"> and </w:t>
      </w:r>
      <w:r w:rsidRPr="00DF2A52">
        <w:rPr>
          <w:i/>
        </w:rPr>
        <w:t>Astroviridae</w:t>
      </w:r>
      <w:r>
        <w:t xml:space="preserve">. </w:t>
      </w:r>
    </w:p>
    <w:p w14:paraId="5FD3B67A" w14:textId="77777777" w:rsidR="00DF2A52" w:rsidRDefault="00DF2A52" w:rsidP="00DF2A52">
      <w:pPr>
        <w:pStyle w:val="ListParagraph"/>
      </w:pPr>
    </w:p>
    <w:p w14:paraId="580C4C12" w14:textId="1E6B39E1" w:rsidR="007647EE" w:rsidRPr="00DF2A52" w:rsidRDefault="00CE3169" w:rsidP="008A4933">
      <w:pPr>
        <w:pStyle w:val="ListParagraph"/>
        <w:numPr>
          <w:ilvl w:val="0"/>
          <w:numId w:val="25"/>
        </w:numPr>
        <w:spacing w:before="240"/>
      </w:pPr>
      <w:r>
        <w:t xml:space="preserve">Phylogenetic analysis of the </w:t>
      </w:r>
      <w:r w:rsidR="00DF2A52">
        <w:t>RNA-dependent RNA polymerase</w:t>
      </w:r>
      <w:r>
        <w:t xml:space="preserve"> of alphaviruses, rubella virus and other positive</w:t>
      </w:r>
      <w:r w:rsidR="008B45C5">
        <w:t>-sense</w:t>
      </w:r>
      <w:r>
        <w:t xml:space="preserve"> RNA viruses </w:t>
      </w:r>
      <w:r w:rsidR="004B0BB8">
        <w:t xml:space="preserve">shows the two genera within the </w:t>
      </w:r>
      <w:r w:rsidR="004B0BB8" w:rsidRPr="00DF2A52">
        <w:rPr>
          <w:i/>
        </w:rPr>
        <w:t>Togaviridae</w:t>
      </w:r>
      <w:r w:rsidR="004B0BB8">
        <w:t xml:space="preserve"> are not monophyletic (Figure 1)</w:t>
      </w:r>
      <w:r w:rsidR="007647EE">
        <w:t xml:space="preserve"> (Shi et al., 2018)</w:t>
      </w:r>
      <w:r w:rsidR="004B0BB8">
        <w:t>. I</w:t>
      </w:r>
      <w:r w:rsidR="007647EE">
        <w:t>n</w:t>
      </w:r>
      <w:r w:rsidR="004B0BB8">
        <w:t xml:space="preserve"> p</w:t>
      </w:r>
      <w:r w:rsidR="00DF2A52">
        <w:t>articular, rubella virus groups</w:t>
      </w:r>
      <w:r w:rsidR="004B0BB8">
        <w:t xml:space="preserve"> more closely with members of the families </w:t>
      </w:r>
      <w:r w:rsidR="004B0BB8" w:rsidRPr="00DF2A52">
        <w:rPr>
          <w:i/>
        </w:rPr>
        <w:t>Benyviridae</w:t>
      </w:r>
      <w:r w:rsidR="004B0BB8">
        <w:t xml:space="preserve">, </w:t>
      </w:r>
      <w:r w:rsidR="004B0BB8" w:rsidRPr="00DF2A52">
        <w:rPr>
          <w:i/>
        </w:rPr>
        <w:t>Hepeviridae</w:t>
      </w:r>
      <w:r w:rsidR="004B0BB8">
        <w:t xml:space="preserve"> and </w:t>
      </w:r>
      <w:r w:rsidR="004B0BB8" w:rsidRPr="00DF2A52">
        <w:rPr>
          <w:i/>
        </w:rPr>
        <w:t>Alphatetraviridae</w:t>
      </w:r>
      <w:r w:rsidR="004B0BB8">
        <w:t>, along with several unclassified viruses, than it</w:t>
      </w:r>
      <w:r w:rsidR="00DF2A52">
        <w:t xml:space="preserve"> does</w:t>
      </w:r>
      <w:r w:rsidR="004B0BB8">
        <w:t xml:space="preserve"> with members of the family </w:t>
      </w:r>
      <w:r w:rsidR="004B0BB8" w:rsidRPr="00DF2A52">
        <w:rPr>
          <w:i/>
        </w:rPr>
        <w:t>Togaviridae</w:t>
      </w:r>
      <w:r w:rsidR="004B0BB8">
        <w:t xml:space="preserve"> belonging to the </w:t>
      </w:r>
      <w:r w:rsidR="004B0BB8" w:rsidRPr="004B0BB8">
        <w:t>genus</w:t>
      </w:r>
      <w:r w:rsidR="004B0BB8">
        <w:t xml:space="preserve"> </w:t>
      </w:r>
      <w:r w:rsidR="004B0BB8" w:rsidRPr="00DF2A52">
        <w:rPr>
          <w:i/>
        </w:rPr>
        <w:t>Alphavirus</w:t>
      </w:r>
      <w:r w:rsidR="004B0BB8">
        <w:t xml:space="preserve">. </w:t>
      </w:r>
    </w:p>
    <w:p w14:paraId="6ACF4200" w14:textId="77777777" w:rsidR="00DF2A52" w:rsidRPr="00DF2A52" w:rsidRDefault="00DF2A52" w:rsidP="00DF2A52">
      <w:pPr>
        <w:pStyle w:val="ListParagraph"/>
      </w:pPr>
    </w:p>
    <w:p w14:paraId="2C23F6AF" w14:textId="24ABFEF8" w:rsidR="007647EE" w:rsidRDefault="007647EE" w:rsidP="00AC0E72">
      <w:pPr>
        <w:pStyle w:val="ListParagraph"/>
        <w:numPr>
          <w:ilvl w:val="0"/>
          <w:numId w:val="25"/>
        </w:numPr>
      </w:pPr>
      <w:r>
        <w:t xml:space="preserve">An alignment-independent method of ascertaining relationships amongst </w:t>
      </w:r>
      <w:r w:rsidR="00AE45AE">
        <w:t xml:space="preserve">complete genome sequences </w:t>
      </w:r>
      <w:r w:rsidR="00852665">
        <w:t xml:space="preserve">of viruses </w:t>
      </w:r>
      <w:r w:rsidR="00AE45AE">
        <w:t>(GRAVi</w:t>
      </w:r>
      <w:r>
        <w:t>Ty</w:t>
      </w:r>
      <w:r w:rsidR="00AE45AE">
        <w:t xml:space="preserve">) supports the conclusion that the family </w:t>
      </w:r>
      <w:r w:rsidR="00AE45AE">
        <w:rPr>
          <w:i/>
        </w:rPr>
        <w:t>Togaviridae</w:t>
      </w:r>
      <w:r w:rsidR="00AE45AE">
        <w:t xml:space="preserve"> is not monophyletic </w:t>
      </w:r>
      <w:r w:rsidR="00AE45AE" w:rsidRPr="00AE45AE">
        <w:t>(</w:t>
      </w:r>
      <w:r w:rsidR="00437715">
        <w:t xml:space="preserve">Figure 2; </w:t>
      </w:r>
      <w:r w:rsidR="00AE45AE" w:rsidRPr="00AE45AE">
        <w:rPr>
          <w:color w:val="222222"/>
          <w:shd w:val="clear" w:color="auto" w:fill="FFFFFF"/>
        </w:rPr>
        <w:t>Aiewsakun &amp; Simmonds 2018</w:t>
      </w:r>
      <w:r w:rsidR="00AE45AE" w:rsidRPr="00AE45AE">
        <w:t>)</w:t>
      </w:r>
      <w:r w:rsidR="00F86E88">
        <w:t>.</w:t>
      </w:r>
    </w:p>
    <w:p w14:paraId="7ABB54A3" w14:textId="77777777" w:rsidR="00DF2A52" w:rsidRPr="00DF2A52" w:rsidRDefault="00DF2A52" w:rsidP="00DF2A52">
      <w:pPr>
        <w:pStyle w:val="ListParagraph"/>
      </w:pPr>
    </w:p>
    <w:p w14:paraId="7FAAF2D6" w14:textId="12982816" w:rsidR="00DF2A52" w:rsidRDefault="00DF2A52" w:rsidP="00AC0E72">
      <w:pPr>
        <w:pStyle w:val="ListParagraph"/>
        <w:numPr>
          <w:ilvl w:val="0"/>
          <w:numId w:val="25"/>
        </w:numPr>
      </w:pPr>
      <w:r>
        <w:t xml:space="preserve">Analysis of the subgenomic promoter region of rubella virus revealed that it did not conform to the consensus sequence for alphaviruses for this region, </w:t>
      </w:r>
      <w:r w:rsidR="008964A9">
        <w:t xml:space="preserve">while there were parallels with the presumed subgenomic promoter region of </w:t>
      </w:r>
      <w:r>
        <w:t>hepatitis E virus (Tzeng &amp; Frey 2002)</w:t>
      </w:r>
      <w:r w:rsidR="008964A9">
        <w:t>.</w:t>
      </w:r>
    </w:p>
    <w:p w14:paraId="10DC970E" w14:textId="77777777" w:rsidR="00493F6C" w:rsidRPr="00493F6C" w:rsidRDefault="00493F6C" w:rsidP="008B45C5">
      <w:pPr>
        <w:pStyle w:val="ListParagraph"/>
      </w:pPr>
    </w:p>
    <w:p w14:paraId="04858218" w14:textId="2098116A" w:rsidR="00493F6C" w:rsidRPr="000512EF" w:rsidRDefault="00493F6C" w:rsidP="000512EF">
      <w:pPr>
        <w:pStyle w:val="ListParagraph"/>
        <w:numPr>
          <w:ilvl w:val="0"/>
          <w:numId w:val="25"/>
        </w:numPr>
      </w:pPr>
      <w:r w:rsidRPr="00F86E88">
        <w:t xml:space="preserve">The only </w:t>
      </w:r>
      <w:r>
        <w:t xml:space="preserve">specific similarity between alphaviruses and rubella virus is the previously described 122 aa </w:t>
      </w:r>
      <w:r w:rsidRPr="00F86E88">
        <w:t xml:space="preserve">region </w:t>
      </w:r>
      <w:r>
        <w:t xml:space="preserve">in nsP3 where sequences show 30% overall identity </w:t>
      </w:r>
      <w:r w:rsidRPr="00F86E88">
        <w:t xml:space="preserve">(Dominguez et al., 1990). </w:t>
      </w:r>
      <w:r>
        <w:t xml:space="preserve">Other alpha-like viruses lack this region of similarity. </w:t>
      </w:r>
      <w:r w:rsidR="000512EF">
        <w:t xml:space="preserve">However, the </w:t>
      </w:r>
      <w:r>
        <w:t>order of the helicase and nsP3 domain</w:t>
      </w:r>
      <w:r w:rsidR="000512EF">
        <w:t>s</w:t>
      </w:r>
      <w:r>
        <w:t xml:space="preserve"> </w:t>
      </w:r>
      <w:r w:rsidR="000512EF">
        <w:t xml:space="preserve">is reversed </w:t>
      </w:r>
      <w:r>
        <w:t>between alphaviruses and rubella virus</w:t>
      </w:r>
      <w:r w:rsidR="000512EF">
        <w:t xml:space="preserve">, thus more likely </w:t>
      </w:r>
      <w:r>
        <w:t>represent one or more episodes of recombination between progenitors of alphaviruses</w:t>
      </w:r>
      <w:r w:rsidR="000512EF">
        <w:t xml:space="preserve">, </w:t>
      </w:r>
      <w:r>
        <w:t xml:space="preserve">rubella virus and </w:t>
      </w:r>
      <w:r w:rsidR="000512EF">
        <w:t xml:space="preserve">potentially other alpha-like viruses. As discussed by the authors, this area of homology may represent an example of chimaerism rather than being directly indicative of a shared evolutionary origin of the two togavirus genera. </w:t>
      </w:r>
    </w:p>
    <w:p w14:paraId="5C33053C" w14:textId="77777777" w:rsidR="004B0BB8" w:rsidRPr="004B0BB8" w:rsidRDefault="004B0BB8" w:rsidP="004B0BB8">
      <w:pPr>
        <w:pStyle w:val="ListParagraph"/>
      </w:pPr>
    </w:p>
    <w:p w14:paraId="2C5CB4A0" w14:textId="1548BCA3" w:rsidR="004B0BB8" w:rsidRPr="0008681D" w:rsidRDefault="0008681D" w:rsidP="004B0BB8">
      <w:r>
        <w:t xml:space="preserve">For these reasons, </w:t>
      </w:r>
      <w:r w:rsidR="008B45C5">
        <w:t>we</w:t>
      </w:r>
      <w:r>
        <w:t xml:space="preserve"> propose that the genus </w:t>
      </w:r>
      <w:r w:rsidRPr="0008681D">
        <w:rPr>
          <w:i/>
        </w:rPr>
        <w:t>Rubivirus</w:t>
      </w:r>
      <w:r>
        <w:t xml:space="preserve"> be moved from the </w:t>
      </w:r>
      <w:r>
        <w:rPr>
          <w:i/>
        </w:rPr>
        <w:t>Togaviridae</w:t>
      </w:r>
      <w:r>
        <w:t xml:space="preserve"> to a new family</w:t>
      </w:r>
      <w:r w:rsidR="0013250E">
        <w:t>,</w:t>
      </w:r>
      <w:r>
        <w:t xml:space="preserve"> </w:t>
      </w:r>
      <w:r w:rsidR="008B45C5">
        <w:rPr>
          <w:i/>
        </w:rPr>
        <w:t>Maton</w:t>
      </w:r>
      <w:r w:rsidR="00E359A5">
        <w:rPr>
          <w:i/>
        </w:rPr>
        <w:t>a</w:t>
      </w:r>
      <w:r>
        <w:rPr>
          <w:i/>
        </w:rPr>
        <w:t>viridae</w:t>
      </w:r>
      <w:r w:rsidR="008B45C5">
        <w:t xml:space="preserve">, named after George de Maton who </w:t>
      </w:r>
      <w:r w:rsidR="00E359A5">
        <w:t xml:space="preserve">in 1814 </w:t>
      </w:r>
      <w:r w:rsidR="008B45C5">
        <w:t>first distinguished rubella from measles and scarlet fever</w:t>
      </w:r>
      <w:r>
        <w:t xml:space="preserve">. </w:t>
      </w:r>
    </w:p>
    <w:p w14:paraId="7FB47A5B" w14:textId="70498F9E" w:rsidR="0008681D" w:rsidRDefault="0008681D" w:rsidP="00437715"/>
    <w:p w14:paraId="51179177" w14:textId="77777777" w:rsidR="00074EE8" w:rsidRDefault="00074EE8" w:rsidP="00437715">
      <w:bookmarkStart w:id="0" w:name="_GoBack"/>
      <w:bookmarkEnd w:id="0"/>
    </w:p>
    <w:p w14:paraId="2B05E50F" w14:textId="1C3128B9" w:rsidR="00437715" w:rsidRPr="00E359A5" w:rsidRDefault="00437715" w:rsidP="00E359A5">
      <w:pPr>
        <w:outlineLvl w:val="0"/>
        <w:rPr>
          <w:u w:val="single"/>
        </w:rPr>
      </w:pPr>
      <w:r w:rsidRPr="00E359A5">
        <w:rPr>
          <w:u w:val="single"/>
        </w:rPr>
        <w:t>Figure legends</w:t>
      </w:r>
    </w:p>
    <w:p w14:paraId="75612644" w14:textId="77777777" w:rsidR="00437715" w:rsidRDefault="00437715" w:rsidP="004B0BB8"/>
    <w:p w14:paraId="49C6FF4D" w14:textId="07792FC7" w:rsidR="004B0BB8" w:rsidRDefault="004B0BB8" w:rsidP="004B0BB8">
      <w:r>
        <w:t>Figure 1. Phylogenetic analysis of RNA dependent RNA polymerase amino acid sequences</w:t>
      </w:r>
      <w:r w:rsidR="00437715">
        <w:t xml:space="preserve"> from alpha-like viruses, including</w:t>
      </w:r>
      <w:r w:rsidR="00E359A5">
        <w:t xml:space="preserve"> members of the family</w:t>
      </w:r>
      <w:r w:rsidR="00437715">
        <w:t xml:space="preserve"> </w:t>
      </w:r>
      <w:r w:rsidR="00437715">
        <w:rPr>
          <w:i/>
        </w:rPr>
        <w:t>Togaviridae</w:t>
      </w:r>
      <w:r>
        <w:t>. The phylogenetic tree was produced by m</w:t>
      </w:r>
      <w:r w:rsidRPr="004B0BB8">
        <w:t xml:space="preserve">aximum likelihood </w:t>
      </w:r>
      <w:r>
        <w:t xml:space="preserve">using the </w:t>
      </w:r>
      <w:r w:rsidRPr="004B0BB8">
        <w:t>optimal model (LG + gamma + invariant sites)</w:t>
      </w:r>
      <w:r>
        <w:t xml:space="preserve"> using </w:t>
      </w:r>
      <w:r w:rsidRPr="00E359A5">
        <w:t>MEGA7</w:t>
      </w:r>
      <w:r>
        <w:t xml:space="preserve"> </w:t>
      </w:r>
      <w:r w:rsidR="008964A9">
        <w:t>(Figure courtesy of Peter Simmonds).</w:t>
      </w:r>
      <w:r w:rsidR="00437715">
        <w:t xml:space="preserve"> Robustness of branching was estimated by boo</w:t>
      </w:r>
      <w:r w:rsidR="003F7FD4">
        <w:t>t</w:t>
      </w:r>
      <w:r w:rsidR="00437715">
        <w:t xml:space="preserve">strap re-sampling of sequences (100 replicates); values of ≥ 70% shown. </w:t>
      </w:r>
    </w:p>
    <w:p w14:paraId="24F4047F" w14:textId="77777777" w:rsidR="00437715" w:rsidRDefault="00437715" w:rsidP="004B0BB8"/>
    <w:p w14:paraId="063FB27F" w14:textId="584048DF" w:rsidR="00437715" w:rsidRDefault="00437715" w:rsidP="00437715">
      <w:r>
        <w:t>Figure 2. GRAViTy analysis of alpha-like viruses. The dendrogram was constructed from composite generalised Jaccard distances based on similarities to protein motifs in viral coding sequences (</w:t>
      </w:r>
      <w:r w:rsidRPr="00AE45AE">
        <w:rPr>
          <w:color w:val="222222"/>
          <w:shd w:val="clear" w:color="auto" w:fill="FFFFFF"/>
        </w:rPr>
        <w:t>Aiewsakun &amp; Simmonds 2018</w:t>
      </w:r>
      <w:r w:rsidRPr="00AE45AE">
        <w:t>)</w:t>
      </w:r>
      <w:r>
        <w:t xml:space="preserve">. Robustness of branching was estimated by bootstrap </w:t>
      </w:r>
      <w:r>
        <w:lastRenderedPageBreak/>
        <w:t xml:space="preserve">re-sampling of protein profile data (100 replicates) using a modified resampling method (Lemoine </w:t>
      </w:r>
      <w:r>
        <w:rPr>
          <w:i/>
        </w:rPr>
        <w:t xml:space="preserve">et al., </w:t>
      </w:r>
      <w:r>
        <w:t xml:space="preserve">2018); values of ≥ 70% shown. </w:t>
      </w:r>
    </w:p>
    <w:p w14:paraId="405D33F5" w14:textId="3D00BBE7" w:rsidR="00437715" w:rsidRDefault="00437715">
      <w:r>
        <w:br w:type="page"/>
      </w:r>
    </w:p>
    <w:p w14:paraId="603551DA" w14:textId="213A64F8" w:rsidR="00437715" w:rsidRDefault="00437715" w:rsidP="00E359A5">
      <w:pPr>
        <w:jc w:val="center"/>
        <w:outlineLvl w:val="0"/>
      </w:pPr>
      <w:r>
        <w:lastRenderedPageBreak/>
        <w:t>FIGURE 1</w:t>
      </w:r>
    </w:p>
    <w:p w14:paraId="7891F63A" w14:textId="77777777" w:rsidR="00437715" w:rsidRDefault="00437715" w:rsidP="004B0BB8"/>
    <w:p w14:paraId="12A00DB4" w14:textId="77777777" w:rsidR="00437715" w:rsidRPr="004B0BB8" w:rsidRDefault="00437715" w:rsidP="004B0BB8"/>
    <w:p w14:paraId="723D0BC1" w14:textId="77777777" w:rsidR="004B0BB8" w:rsidRDefault="004B0BB8" w:rsidP="004B0BB8">
      <w:r>
        <w:rPr>
          <w:noProof/>
          <w:lang w:eastAsia="en-GB"/>
        </w:rPr>
        <w:drawing>
          <wp:inline distT="0" distB="0" distL="0" distR="0" wp14:anchorId="2D6F1DEB" wp14:editId="1ADB9139">
            <wp:extent cx="6007735" cy="8055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pha-like RdRp tre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805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8E2B3" w14:textId="77777777" w:rsidR="004B0BB8" w:rsidRPr="004B0BB8" w:rsidRDefault="004B0BB8" w:rsidP="004B0BB8"/>
    <w:p w14:paraId="291DC2F9" w14:textId="6E54ECB8" w:rsidR="00437715" w:rsidRDefault="00437715">
      <w:r>
        <w:br w:type="page"/>
      </w:r>
    </w:p>
    <w:p w14:paraId="4B0A503F" w14:textId="77A5F76A" w:rsidR="00A1043D" w:rsidRDefault="00437715" w:rsidP="00E359A5">
      <w:pPr>
        <w:jc w:val="center"/>
        <w:outlineLvl w:val="0"/>
      </w:pPr>
      <w:r>
        <w:lastRenderedPageBreak/>
        <w:t>FIGURE 2</w:t>
      </w:r>
    </w:p>
    <w:p w14:paraId="65B54F09" w14:textId="77777777" w:rsidR="00437715" w:rsidRDefault="00437715" w:rsidP="00437715"/>
    <w:p w14:paraId="351193F8" w14:textId="395428A7" w:rsidR="00437715" w:rsidRDefault="00437715" w:rsidP="00437715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CA85938" wp14:editId="2D7F2357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6007735" cy="6729095"/>
            <wp:effectExtent l="0" t="0" r="0" b="0"/>
            <wp:wrapTight wrapText="bothSides">
              <wp:wrapPolygon edited="0">
                <wp:start x="0" y="0"/>
                <wp:lineTo x="0" y="21525"/>
                <wp:lineTo x="21506" y="21525"/>
                <wp:lineTo x="215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ViTy tre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672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6671AC" w14:textId="77777777" w:rsidR="00437715" w:rsidRDefault="00437715" w:rsidP="00437715"/>
    <w:p w14:paraId="75CD8B0B" w14:textId="77777777" w:rsidR="00A1043D" w:rsidRDefault="00A1043D" w:rsidP="00AC0E72"/>
    <w:p w14:paraId="695C14DD" w14:textId="77777777" w:rsidR="008F203A" w:rsidRDefault="008F203A" w:rsidP="00AC0E72"/>
    <w:p w14:paraId="524CE681" w14:textId="7A6F1FF5" w:rsidR="00437715" w:rsidRDefault="00437715" w:rsidP="00E359A5">
      <w:r>
        <w:br w:type="page"/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6EBE1C9F" w14:textId="77777777" w:rsidTr="00A01958">
        <w:trPr>
          <w:tblHeader/>
        </w:trPr>
        <w:tc>
          <w:tcPr>
            <w:tcW w:w="9228" w:type="dxa"/>
          </w:tcPr>
          <w:p w14:paraId="0C994378" w14:textId="3538777E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lastRenderedPageBreak/>
              <w:t>References:</w:t>
            </w:r>
          </w:p>
        </w:tc>
      </w:tr>
      <w:tr w:rsidR="00AA601F" w:rsidRPr="00C61931" w14:paraId="71FB71C8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CEB4A" w14:textId="77777777" w:rsidR="00AA601F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1DBB1C2C" w14:textId="77777777" w:rsidR="00AE45AE" w:rsidRDefault="00AE45AE" w:rsidP="00A0195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Aiewsakun, P., &amp; Simmonds, P. (2018). The genomic underpinning</w:t>
            </w:r>
            <w:r w:rsidR="00DF2A52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s of eukaryotic virus taxonomy: 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creating a sequence-based framework for family-level virus classification.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Microbiome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(1), 38.</w:t>
            </w:r>
          </w:p>
          <w:p w14:paraId="2E3496DB" w14:textId="77777777" w:rsidR="00AE45AE" w:rsidRDefault="00AE45AE" w:rsidP="00A0195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  <w:p w14:paraId="328C255A" w14:textId="77777777" w:rsidR="00CE3169" w:rsidRDefault="00CE3169" w:rsidP="00A0195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Dominguez, G., Wang, C. Y., &amp; Frey, T. K. (1990). Sequence of the genome RNA of rubella virus: evidence for genetic rearrangement during togavirus evolution.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Virology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177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(1), 225-238.</w:t>
            </w:r>
          </w:p>
          <w:p w14:paraId="4581C6B6" w14:textId="77777777" w:rsidR="00CE3169" w:rsidRDefault="00CE3169" w:rsidP="00A0195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  <w:p w14:paraId="1EB105DE" w14:textId="77777777" w:rsidR="00AA601F" w:rsidRDefault="008F203A" w:rsidP="00A0195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Fenner, F., Pereira, H. G., Porterfield, J. S., Joklik, W. K., &amp; Downie, A. W. (1974). Family and generic names for viruses approved by the International Committee on Taxonomy of Viruses, June 1974.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Intervirology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(3), 193-198.</w:t>
            </w:r>
          </w:p>
          <w:p w14:paraId="083ACFA6" w14:textId="77777777" w:rsidR="008F203A" w:rsidRDefault="008F203A" w:rsidP="00A0195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  <w:p w14:paraId="533CB70B" w14:textId="77777777" w:rsidR="00422387" w:rsidRDefault="00422387" w:rsidP="00A0195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422387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Koonin, E. V., and V. V. Dolja. 1993. Evolution and taxonomy of positive-strand RNA viruses: implications of comparative analysis of amino acid sequences. Crit. Rev. Biochem. Mol. Biol. 28:375-430.</w:t>
            </w:r>
          </w:p>
          <w:p w14:paraId="7D48CA73" w14:textId="77777777" w:rsidR="00437715" w:rsidRDefault="00437715" w:rsidP="00A0195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  <w:p w14:paraId="6C8BA698" w14:textId="32E5F9AE" w:rsidR="00437715" w:rsidRDefault="00437715" w:rsidP="00A0195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43771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Lemoine F, Domelevo Entfellner JB, Wilkinson E, Correia D, Davila Felipe M, De Oliveira T, Gascuel</w:t>
            </w:r>
            <w:r w:rsidR="00E359A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43771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O. 2018. Renewing Felsenstein's phylogenetic bootstrap in the era of big data. Nature 556: 452-456.</w:t>
            </w:r>
          </w:p>
          <w:p w14:paraId="3BA865B9" w14:textId="77777777" w:rsidR="004F7B88" w:rsidRDefault="004F7B88" w:rsidP="00A0195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  <w:p w14:paraId="295A13F8" w14:textId="5B13EE74" w:rsidR="00E359A5" w:rsidRDefault="00E359A5" w:rsidP="00E359A5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E359A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Li, L., Jose, J., Xiang, Y., Kuhn, R. J., &amp; Rossmann, M. G. (2010). Structural changes of envelope proteins during alphavirus fusion. </w:t>
            </w:r>
            <w:r w:rsidRPr="00E359A5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Nature</w:t>
            </w:r>
            <w:r w:rsidRPr="00E359A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, </w:t>
            </w:r>
            <w:r w:rsidRPr="00E359A5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468</w:t>
            </w:r>
            <w:r w:rsidRPr="00E359A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(7324), 705.</w:t>
            </w:r>
          </w:p>
          <w:p w14:paraId="26AFC4A3" w14:textId="77777777" w:rsidR="00E359A5" w:rsidRPr="00E359A5" w:rsidRDefault="00E359A5" w:rsidP="00E359A5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  <w:p w14:paraId="68FA165B" w14:textId="77777777" w:rsidR="00E359A5" w:rsidRPr="00E359A5" w:rsidRDefault="00E359A5" w:rsidP="00E359A5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E359A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Prasad, V. M., Klose, T., &amp; Rossmann, M. G. (2017). Assembly, maturation and three-dimensional helical structure of the teratogenic rubella virus. </w:t>
            </w:r>
            <w:r w:rsidRPr="00E359A5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PLoS pathogens</w:t>
            </w:r>
            <w:r w:rsidRPr="00E359A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, </w:t>
            </w:r>
            <w:r w:rsidRPr="00E359A5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13</w:t>
            </w:r>
            <w:r w:rsidRPr="00E359A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(6), e1006377.</w:t>
            </w:r>
          </w:p>
          <w:p w14:paraId="7B6DB5BF" w14:textId="77777777" w:rsidR="004F7B88" w:rsidRDefault="004F7B88" w:rsidP="004F7B8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  <w:p w14:paraId="3D39DAF4" w14:textId="180DA95B" w:rsidR="004F7B88" w:rsidRDefault="004F7B88" w:rsidP="004F7B8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4F7B88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Shi, M., Lin, X. D., Chen, X., Tian, J. H., Chen, L. J., Li, K., ... &amp; Holmes, E. C. (2018). The evolutionary history of vertebrate RNA viruses. </w:t>
            </w:r>
            <w:r w:rsidRPr="004F7B88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Nature</w:t>
            </w:r>
            <w:r w:rsidRPr="004F7B88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, 1.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hyperlink r:id="rId12" w:history="1">
              <w:r w:rsidRPr="00D41070">
                <w:rPr>
                  <w:rStyle w:val="Hyperlink"/>
                  <w:rFonts w:ascii="Arial" w:hAnsi="Arial" w:cs="Arial"/>
                  <w:sz w:val="20"/>
                  <w:shd w:val="clear" w:color="auto" w:fill="FFFFFF"/>
                </w:rPr>
                <w:t>https://doi.org/10.1038/s41586-018-0012-7</w:t>
              </w:r>
            </w:hyperlink>
          </w:p>
          <w:p w14:paraId="786D3F52" w14:textId="77777777" w:rsidR="004F7B88" w:rsidRPr="004F7B88" w:rsidRDefault="004F7B88" w:rsidP="004F7B8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  <w:p w14:paraId="30C72ECA" w14:textId="47D02C4A" w:rsidR="004F7B88" w:rsidRDefault="004F7B88" w:rsidP="004F7B8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4F7B88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Tzeng, W. P., &amp; Frey, T. K. (2002). Mapping the rubella virus subgenomic promoter. </w:t>
            </w:r>
            <w:r w:rsidRPr="004F7B88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Journal of virology</w:t>
            </w:r>
            <w:r w:rsidRPr="004F7B88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, </w:t>
            </w:r>
            <w:r w:rsidRPr="004F7B88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76</w:t>
            </w:r>
            <w:r w:rsidRPr="004F7B88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(7), 3189-3201.</w:t>
            </w:r>
          </w:p>
          <w:p w14:paraId="183FF6C4" w14:textId="77777777" w:rsidR="004F7B88" w:rsidRPr="004F7B88" w:rsidRDefault="004F7B88" w:rsidP="004F7B8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  <w:p w14:paraId="55323FDE" w14:textId="77777777" w:rsidR="004F7B88" w:rsidRPr="004F7B88" w:rsidRDefault="004F7B88" w:rsidP="004F7B8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4F7B88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Weaver, S. C., Hagenbaugh, A., Bellew, L. A., Netesov, S. V., Volchkov, V. E., Chang, G. J. J., ... &amp; Holland, J. J. (1993). A comparison of the nucleotide sequences of eastern and western equine encephalomyelitis viruses with those of other alphaviruses and related RNA viruses. </w:t>
            </w:r>
            <w:r w:rsidRPr="004F7B88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Virology</w:t>
            </w:r>
            <w:r w:rsidRPr="004F7B88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, </w:t>
            </w:r>
            <w:r w:rsidRPr="004F7B88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197</w:t>
            </w:r>
            <w:r w:rsidRPr="004F7B88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(1), 375-390.</w:t>
            </w:r>
          </w:p>
          <w:p w14:paraId="5B47137C" w14:textId="77777777" w:rsidR="00422387" w:rsidRDefault="00422387" w:rsidP="00A01958">
            <w:pPr>
              <w:pStyle w:val="BodyTextIndent"/>
              <w:ind w:left="567" w:hanging="567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  <w:p w14:paraId="0EA7F9E3" w14:textId="77777777" w:rsidR="007647EE" w:rsidRDefault="007647EE" w:rsidP="008F203A">
            <w:pPr>
              <w:pStyle w:val="EndNoteBibliography"/>
              <w:rPr>
                <w:noProof/>
                <w:sz w:val="24"/>
                <w:szCs w:val="24"/>
              </w:rPr>
            </w:pPr>
          </w:p>
          <w:p w14:paraId="36AEC3DA" w14:textId="77777777" w:rsidR="00DF2A52" w:rsidRDefault="00DF2A52" w:rsidP="007647EE">
            <w:pPr>
              <w:pStyle w:val="EndNoteBibliography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2DBD3FDE" w14:textId="77777777" w:rsidR="00DF2A52" w:rsidRDefault="00DF2A52" w:rsidP="007647EE">
            <w:pPr>
              <w:pStyle w:val="EndNoteBibliography"/>
              <w:rPr>
                <w:color w:val="000000"/>
              </w:rPr>
            </w:pPr>
          </w:p>
          <w:p w14:paraId="5047EA7C" w14:textId="190A8FCA" w:rsidR="00422387" w:rsidRPr="00422387" w:rsidRDefault="00422387" w:rsidP="007647EE">
            <w:pPr>
              <w:pStyle w:val="EndNoteBibliography"/>
              <w:rPr>
                <w:color w:val="000000"/>
                <w:sz w:val="24"/>
                <w:szCs w:val="24"/>
              </w:rPr>
            </w:pPr>
          </w:p>
        </w:tc>
      </w:tr>
      <w:tr w:rsidR="008F203A" w:rsidRPr="00C61931" w14:paraId="4A41BCF1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90495" w14:textId="77777777" w:rsidR="008F203A" w:rsidRDefault="008F203A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56FA4A35" w14:textId="77777777" w:rsidR="008E736E" w:rsidRDefault="008E736E" w:rsidP="00AC0E72"/>
    <w:p w14:paraId="5AFDB93B" w14:textId="77777777" w:rsidR="00CE0DE4" w:rsidRPr="00991A82" w:rsidRDefault="00806587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5EEACE" wp14:editId="7862DC64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6510" r="19050" b="2159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F59FE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c+Qv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sectPr w:rsidR="00CE0DE4" w:rsidRPr="00991A82" w:rsidSect="00991A82">
      <w:headerReference w:type="default" r:id="rId13"/>
      <w:footerReference w:type="default" r:id="rId14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31919" w14:textId="77777777" w:rsidR="00C71BA7" w:rsidRDefault="00C71BA7" w:rsidP="005C012B">
      <w:pPr>
        <w:pStyle w:val="Header"/>
      </w:pPr>
      <w:r>
        <w:separator/>
      </w:r>
    </w:p>
  </w:endnote>
  <w:endnote w:type="continuationSeparator" w:id="0">
    <w:p w14:paraId="4D8FF4C0" w14:textId="77777777" w:rsidR="00C71BA7" w:rsidRDefault="00C71BA7" w:rsidP="005C012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FE0D5" w14:textId="71D97B75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C012B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C012B">
      <w:rPr>
        <w:rFonts w:ascii="Arial" w:hAnsi="Arial" w:cs="Arial"/>
        <w:noProof/>
        <w:color w:val="808080"/>
        <w:sz w:val="20"/>
      </w:rPr>
      <w:t>7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90DAD" w14:textId="77777777" w:rsidR="00C71BA7" w:rsidRDefault="00C71BA7" w:rsidP="005C012B">
      <w:pPr>
        <w:pStyle w:val="Header"/>
      </w:pPr>
      <w:r>
        <w:separator/>
      </w:r>
    </w:p>
  </w:footnote>
  <w:footnote w:type="continuationSeparator" w:id="0">
    <w:p w14:paraId="30A177BC" w14:textId="77777777" w:rsidR="00C71BA7" w:rsidRDefault="00C71BA7" w:rsidP="005C012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7FCF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9192F"/>
    <w:multiLevelType w:val="hybridMultilevel"/>
    <w:tmpl w:val="DA5EF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6"/>
  </w:num>
  <w:num w:numId="5">
    <w:abstractNumId w:val="20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11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6"/>
  </w:num>
  <w:num w:numId="18">
    <w:abstractNumId w:val="12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4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512EF"/>
    <w:rsid w:val="00072CC5"/>
    <w:rsid w:val="00074EE8"/>
    <w:rsid w:val="0008681D"/>
    <w:rsid w:val="00093DD3"/>
    <w:rsid w:val="000A6DE3"/>
    <w:rsid w:val="000A7F1C"/>
    <w:rsid w:val="000B7774"/>
    <w:rsid w:val="000C0126"/>
    <w:rsid w:val="000C32A9"/>
    <w:rsid w:val="000D144D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3250E"/>
    <w:rsid w:val="001551A8"/>
    <w:rsid w:val="001578A6"/>
    <w:rsid w:val="001664DF"/>
    <w:rsid w:val="0017061A"/>
    <w:rsid w:val="0017329D"/>
    <w:rsid w:val="00173983"/>
    <w:rsid w:val="0017739A"/>
    <w:rsid w:val="001811B7"/>
    <w:rsid w:val="00181622"/>
    <w:rsid w:val="00185699"/>
    <w:rsid w:val="001946B2"/>
    <w:rsid w:val="001C5EE1"/>
    <w:rsid w:val="001D0909"/>
    <w:rsid w:val="001E59C1"/>
    <w:rsid w:val="001E7FD5"/>
    <w:rsid w:val="001F4031"/>
    <w:rsid w:val="00202BB3"/>
    <w:rsid w:val="00207879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0CD"/>
    <w:rsid w:val="00306A5E"/>
    <w:rsid w:val="00306ADB"/>
    <w:rsid w:val="00315AEE"/>
    <w:rsid w:val="003419C7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B7994"/>
    <w:rsid w:val="003D08E5"/>
    <w:rsid w:val="003E02C3"/>
    <w:rsid w:val="003E3AB2"/>
    <w:rsid w:val="003E7EEC"/>
    <w:rsid w:val="003F0180"/>
    <w:rsid w:val="003F7FD4"/>
    <w:rsid w:val="00400C3B"/>
    <w:rsid w:val="00402B0B"/>
    <w:rsid w:val="00404ECA"/>
    <w:rsid w:val="00413670"/>
    <w:rsid w:val="004152C9"/>
    <w:rsid w:val="00422387"/>
    <w:rsid w:val="00422FF0"/>
    <w:rsid w:val="00437715"/>
    <w:rsid w:val="004435EC"/>
    <w:rsid w:val="00444E1E"/>
    <w:rsid w:val="00447321"/>
    <w:rsid w:val="0044774D"/>
    <w:rsid w:val="004710EC"/>
    <w:rsid w:val="0047500D"/>
    <w:rsid w:val="004937AC"/>
    <w:rsid w:val="00493F6C"/>
    <w:rsid w:val="00494623"/>
    <w:rsid w:val="004A350D"/>
    <w:rsid w:val="004A3DAC"/>
    <w:rsid w:val="004A6F2D"/>
    <w:rsid w:val="004B0BB8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4F7B88"/>
    <w:rsid w:val="0050228B"/>
    <w:rsid w:val="00503E8B"/>
    <w:rsid w:val="00505D9F"/>
    <w:rsid w:val="0050662A"/>
    <w:rsid w:val="00516D9F"/>
    <w:rsid w:val="005201AD"/>
    <w:rsid w:val="00521073"/>
    <w:rsid w:val="00522E71"/>
    <w:rsid w:val="005277FB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C012B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55146"/>
    <w:rsid w:val="007602A2"/>
    <w:rsid w:val="007647EE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6587"/>
    <w:rsid w:val="008071B6"/>
    <w:rsid w:val="00816762"/>
    <w:rsid w:val="008277F3"/>
    <w:rsid w:val="00830785"/>
    <w:rsid w:val="00835B67"/>
    <w:rsid w:val="008418CD"/>
    <w:rsid w:val="008442CB"/>
    <w:rsid w:val="00852665"/>
    <w:rsid w:val="008563BE"/>
    <w:rsid w:val="008655D6"/>
    <w:rsid w:val="00872088"/>
    <w:rsid w:val="008762E5"/>
    <w:rsid w:val="00890FAF"/>
    <w:rsid w:val="00891C67"/>
    <w:rsid w:val="00893C7C"/>
    <w:rsid w:val="008964A9"/>
    <w:rsid w:val="008A612E"/>
    <w:rsid w:val="008B45C5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03A"/>
    <w:rsid w:val="008F2BEE"/>
    <w:rsid w:val="008F4957"/>
    <w:rsid w:val="008F5FB1"/>
    <w:rsid w:val="008F6DE4"/>
    <w:rsid w:val="009062EF"/>
    <w:rsid w:val="009223ED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1043D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E45AE"/>
    <w:rsid w:val="00AF278A"/>
    <w:rsid w:val="00AF63CD"/>
    <w:rsid w:val="00AF65C7"/>
    <w:rsid w:val="00B04CD6"/>
    <w:rsid w:val="00B12A01"/>
    <w:rsid w:val="00B12D76"/>
    <w:rsid w:val="00B216A1"/>
    <w:rsid w:val="00B2254A"/>
    <w:rsid w:val="00B2568F"/>
    <w:rsid w:val="00B34F2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314E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1BA7"/>
    <w:rsid w:val="00C75039"/>
    <w:rsid w:val="00C762C9"/>
    <w:rsid w:val="00C80265"/>
    <w:rsid w:val="00C85D55"/>
    <w:rsid w:val="00C94A0B"/>
    <w:rsid w:val="00CA56E9"/>
    <w:rsid w:val="00CB3A13"/>
    <w:rsid w:val="00CB434C"/>
    <w:rsid w:val="00CB7C39"/>
    <w:rsid w:val="00CE0DE4"/>
    <w:rsid w:val="00CE19C4"/>
    <w:rsid w:val="00CE2AB3"/>
    <w:rsid w:val="00CE3169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DF2A52"/>
    <w:rsid w:val="00E03681"/>
    <w:rsid w:val="00E11C94"/>
    <w:rsid w:val="00E11F4F"/>
    <w:rsid w:val="00E30A69"/>
    <w:rsid w:val="00E347C2"/>
    <w:rsid w:val="00E359A5"/>
    <w:rsid w:val="00E36F9D"/>
    <w:rsid w:val="00E4413A"/>
    <w:rsid w:val="00E47DA9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37FF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86E88"/>
    <w:rsid w:val="00F912D1"/>
    <w:rsid w:val="00F93153"/>
    <w:rsid w:val="00F95CC4"/>
    <w:rsid w:val="00FA2A1E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B9CABE3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B8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customStyle="1" w:styleId="EndNoteBibliography">
    <w:name w:val="EndNote Bibliography"/>
    <w:basedOn w:val="Normal"/>
    <w:rsid w:val="008F203A"/>
    <w:rPr>
      <w:rFonts w:eastAsia="SimSun"/>
      <w:sz w:val="32"/>
      <w:szCs w:val="22"/>
    </w:rPr>
  </w:style>
  <w:style w:type="paragraph" w:styleId="ListParagraph">
    <w:name w:val="List Paragraph"/>
    <w:basedOn w:val="Normal"/>
    <w:uiPriority w:val="34"/>
    <w:qFormat/>
    <w:rsid w:val="00CE31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3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C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C7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C7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359A5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B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38/s41586-018-0012-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ictvonline.org/subcommittees.as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ED425-DBA0-614B-BC6A-2D965EF1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1565</Words>
  <Characters>8921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10466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Stuart Siddell</cp:lastModifiedBy>
  <cp:revision>4</cp:revision>
  <cp:lastPrinted>2017-01-11T11:49:00Z</cp:lastPrinted>
  <dcterms:created xsi:type="dcterms:W3CDTF">2018-06-17T07:41:00Z</dcterms:created>
  <dcterms:modified xsi:type="dcterms:W3CDTF">2018-12-20T09:27:00Z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