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EA1B4C2" w:rsidR="00A174CC" w:rsidRDefault="00817BC2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2023.007M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0CE5603C" w:rsidR="00A174CC" w:rsidRPr="000A146A" w:rsidRDefault="008815EE" w:rsidP="009B65CC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F33F57">
              <w:rPr>
                <w:rFonts w:ascii="Arial" w:hAnsi="Arial" w:cs="Arial"/>
                <w:bCs/>
              </w:rPr>
              <w:t>Crate a</w:t>
            </w:r>
            <w:r w:rsidR="00F33F57" w:rsidRPr="000927E0">
              <w:rPr>
                <w:rFonts w:ascii="Arial" w:hAnsi="Arial" w:cs="Arial"/>
              </w:rPr>
              <w:t xml:space="preserve"> new species in the genus </w:t>
            </w:r>
            <w:proofErr w:type="spellStart"/>
            <w:r w:rsidR="00F33F57" w:rsidRPr="000927E0">
              <w:rPr>
                <w:rFonts w:ascii="Arial" w:hAnsi="Arial" w:cs="Arial"/>
                <w:i/>
              </w:rPr>
              <w:t>Coguvirus</w:t>
            </w:r>
            <w:proofErr w:type="spellEnd"/>
            <w:r w:rsidR="00F33F57" w:rsidRPr="000927E0">
              <w:rPr>
                <w:rFonts w:ascii="Arial" w:hAnsi="Arial" w:cs="Arial"/>
              </w:rPr>
              <w:t xml:space="preserve"> </w:t>
            </w:r>
            <w:r w:rsidR="00F33F57">
              <w:rPr>
                <w:rFonts w:ascii="Arial" w:hAnsi="Arial" w:cs="Arial"/>
              </w:rPr>
              <w:t>(</w:t>
            </w:r>
            <w:proofErr w:type="spellStart"/>
            <w:r w:rsidR="00F33F57" w:rsidRPr="000927E0">
              <w:rPr>
                <w:rFonts w:ascii="Arial" w:hAnsi="Arial" w:cs="Arial"/>
                <w:i/>
              </w:rPr>
              <w:t>Bunyavirales</w:t>
            </w:r>
            <w:proofErr w:type="spellEnd"/>
            <w:r w:rsidR="00F33F57" w:rsidRPr="000927E0">
              <w:rPr>
                <w:rFonts w:ascii="Arial" w:hAnsi="Arial" w:cs="Arial"/>
                <w:i/>
              </w:rPr>
              <w:t xml:space="preserve"> </w:t>
            </w:r>
            <w:r w:rsidR="00F33F57">
              <w:rPr>
                <w:rFonts w:ascii="Arial" w:hAnsi="Arial" w:cs="Arial"/>
                <w:i/>
              </w:rPr>
              <w:t xml:space="preserve">: </w:t>
            </w:r>
            <w:proofErr w:type="spellStart"/>
            <w:r w:rsidR="00F33F57" w:rsidRPr="000927E0">
              <w:rPr>
                <w:rFonts w:ascii="Arial" w:hAnsi="Arial" w:cs="Arial"/>
                <w:i/>
              </w:rPr>
              <w:t>Phenuiviridae</w:t>
            </w:r>
            <w:proofErr w:type="spellEnd"/>
            <w:r w:rsidR="00F33F57" w:rsidRPr="00F33F57">
              <w:rPr>
                <w:rFonts w:ascii="Arial" w:hAnsi="Arial" w:cs="Arial"/>
                <w:i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65470F" w14:paraId="67E4419A" w14:textId="77777777" w:rsidTr="009B65CC">
        <w:tc>
          <w:tcPr>
            <w:tcW w:w="4368" w:type="dxa"/>
            <w:shd w:val="clear" w:color="auto" w:fill="auto"/>
          </w:tcPr>
          <w:p w14:paraId="1D0EC94F" w14:textId="5EEAFB9B" w:rsidR="00A174CC" w:rsidRPr="00F33F57" w:rsidRDefault="00F33F5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>Navarro B, Nicoloso VM, Di Serio F</w:t>
            </w:r>
          </w:p>
          <w:p w14:paraId="5B4DA008" w14:textId="77777777" w:rsidR="00A174CC" w:rsidRPr="00F33F57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66E3ACD1" w:rsidR="00A174CC" w:rsidRPr="00F33F57" w:rsidRDefault="00000000" w:rsidP="009B65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8" w:history="1">
              <w:r w:rsidR="00F33F57" w:rsidRPr="00F33F57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beatriz.navarro@ipsp.cnr.it</w:t>
              </w:r>
            </w:hyperlink>
            <w:r w:rsidR="00F33F57" w:rsidRPr="00F33F57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  <w:r w:rsidR="009B65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hyperlink r:id="rId9" w:history="1">
              <w:r w:rsidR="009B65CC" w:rsidRPr="000F41F2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vittorio.nicoloso@ipsp.cnr.it</w:t>
              </w:r>
            </w:hyperlink>
            <w:r w:rsidR="009B65CC">
              <w:rPr>
                <w:rStyle w:val="Hyperlink"/>
                <w:rFonts w:ascii="Arial" w:hAnsi="Arial" w:cs="Arial"/>
                <w:sz w:val="22"/>
                <w:szCs w:val="22"/>
                <w:lang w:val="it-IT"/>
              </w:rPr>
              <w:t>;</w:t>
            </w:r>
            <w:r w:rsidR="009B65CC" w:rsidRPr="00D00F18">
              <w:rPr>
                <w:rStyle w:val="Hyperlink"/>
                <w:lang w:val="it-IT"/>
              </w:rPr>
              <w:t xml:space="preserve"> </w:t>
            </w:r>
            <w:hyperlink r:id="rId10" w:history="1">
              <w:r w:rsidR="00F33F57" w:rsidRPr="00F33F57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francesco.diserio@ipsp.cnr.it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65470F" w14:paraId="3467A41D" w14:textId="77777777">
        <w:tc>
          <w:tcPr>
            <w:tcW w:w="9072" w:type="dxa"/>
            <w:shd w:val="clear" w:color="auto" w:fill="auto"/>
          </w:tcPr>
          <w:p w14:paraId="1033F5C1" w14:textId="4E84BB8A" w:rsidR="00A174CC" w:rsidRPr="00F33F57" w:rsidRDefault="00F33F57" w:rsidP="009B65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>Istituto per la Protezione Sostenibile delle Piante, CNR, Italy 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BN</w:t>
            </w: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V</w:t>
            </w:r>
            <w:r w:rsidR="009B65CC">
              <w:rPr>
                <w:rFonts w:ascii="Arial" w:hAnsi="Arial" w:cs="Arial"/>
                <w:sz w:val="22"/>
                <w:szCs w:val="22"/>
                <w:lang w:val="it-IT"/>
              </w:rPr>
              <w:t>MN,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FDS</w:t>
            </w: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>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118B5820" w:rsidR="00437970" w:rsidRDefault="004034B6" w:rsidP="009B6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Francesco D</w:t>
            </w:r>
            <w:r w:rsidR="009B65CC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Serio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1A524705" w:rsidR="00A174CC" w:rsidRDefault="009B65CC" w:rsidP="009B6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Pr="009B65CC">
              <w:rPr>
                <w:rFonts w:ascii="Arial" w:hAnsi="Arial" w:cs="Arial"/>
                <w:i/>
                <w:iCs/>
                <w:sz w:val="22"/>
                <w:szCs w:val="22"/>
              </w:rPr>
              <w:t>Phenuiviridae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69EA1B49" w:rsidR="0037243A" w:rsidRDefault="009B65CC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Pr="009B65CC">
              <w:rPr>
                <w:rFonts w:ascii="Arial" w:hAnsi="Arial" w:cs="Arial"/>
                <w:i/>
                <w:iCs/>
                <w:sz w:val="22"/>
                <w:szCs w:val="22"/>
              </w:rPr>
              <w:t>Phenuiviridae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37F80F8A" w:rsidR="0037243A" w:rsidRDefault="00B634A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4EC5D82B" w14:textId="4278FFB1" w:rsidR="0037243A" w:rsidRDefault="00B634A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36F60BFB" w:rsidR="0037243A" w:rsidRDefault="00B634A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489B35F" w14:textId="6AEC19ED" w:rsidR="00A174CC" w:rsidRPr="009B65CC" w:rsidRDefault="008815EE" w:rsidP="009B65CC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EAB7867" w:rsidR="00A174CC" w:rsidRPr="000A146A" w:rsidRDefault="009B6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2DE7B8F6" w:rsidR="00A174CC" w:rsidRDefault="009B6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6E2FE453" w:rsidR="00A174CC" w:rsidRDefault="009B6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3E573D63" w:rsidR="00A174CC" w:rsidRDefault="009B6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34FCE7A" w:rsidR="00A174CC" w:rsidRDefault="00B634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June 23, </w:t>
            </w:r>
            <w:r w:rsidR="00D27CDB">
              <w:rPr>
                <w:rFonts w:ascii="Arial" w:hAnsi="Arial" w:cs="Arial"/>
                <w:sz w:val="22"/>
                <w:szCs w:val="22"/>
              </w:rPr>
              <w:t>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6AF3B" w14:textId="77777777" w:rsidR="009B65CC" w:rsidRDefault="009B65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A829502" w14:textId="1FFBBCA7" w:rsidR="00A174CC" w:rsidRPr="009B65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2F8CFE8D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B65CC" w14:paraId="4FABC617" w14:textId="77777777" w:rsidTr="007A50F6">
        <w:tc>
          <w:tcPr>
            <w:tcW w:w="9072" w:type="dxa"/>
            <w:shd w:val="clear" w:color="auto" w:fill="auto"/>
          </w:tcPr>
          <w:p w14:paraId="4F501E6B" w14:textId="45F6549D" w:rsidR="009B65CC" w:rsidRDefault="009B65CC" w:rsidP="007A50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747F7FE5" w:rsidR="00A174CC" w:rsidRDefault="00A174CC"/>
    <w:p w14:paraId="7131A997" w14:textId="75658E0D" w:rsidR="00A174CC" w:rsidRPr="009B65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2FCCF8DD" w:rsidR="00A174CC" w:rsidRDefault="00545D25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45D25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817BC2">
              <w:rPr>
                <w:rFonts w:ascii="Arial" w:hAnsi="Arial" w:cs="Arial"/>
                <w:bCs/>
                <w:sz w:val="22"/>
                <w:szCs w:val="22"/>
              </w:rPr>
              <w:t>007</w:t>
            </w:r>
            <w:r w:rsidRPr="00545D25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B634A6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545D25">
              <w:rPr>
                <w:rFonts w:ascii="Arial" w:hAnsi="Arial" w:cs="Arial"/>
                <w:bCs/>
                <w:sz w:val="22"/>
                <w:szCs w:val="22"/>
              </w:rPr>
              <w:t>.v1.Coguvirus_1nsp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442F892A" w:rsidR="00A174CC" w:rsidRDefault="00F33F57" w:rsidP="009B65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33F57">
              <w:rPr>
                <w:rFonts w:asciiTheme="minorHAnsi" w:hAnsiTheme="minorHAnsi" w:cstheme="minorHAnsi"/>
              </w:rPr>
              <w:t>Edgeworthia</w:t>
            </w:r>
            <w:proofErr w:type="spellEnd"/>
            <w:r w:rsidRPr="00F33F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3F57">
              <w:rPr>
                <w:rFonts w:asciiTheme="minorHAnsi" w:hAnsiTheme="minorHAnsi" w:cstheme="minorHAnsi"/>
              </w:rPr>
              <w:t>chrysantha</w:t>
            </w:r>
            <w:proofErr w:type="spellEnd"/>
            <w:r w:rsidRPr="00F33F57">
              <w:rPr>
                <w:rFonts w:asciiTheme="minorHAnsi" w:hAnsiTheme="minorHAnsi" w:cstheme="minorHAnsi"/>
              </w:rPr>
              <w:t xml:space="preserve"> mosaic-associated virus</w:t>
            </w:r>
            <w:r w:rsidRPr="006003D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C7A91">
              <w:rPr>
                <w:rFonts w:asciiTheme="minorHAnsi" w:hAnsiTheme="minorHAnsi" w:cstheme="minorHAnsi"/>
                <w:lang w:val="en-GB"/>
              </w:rPr>
              <w:t>(</w:t>
            </w:r>
            <w:proofErr w:type="spellStart"/>
            <w:r w:rsidRPr="00AC7A91">
              <w:rPr>
                <w:rFonts w:asciiTheme="minorHAnsi" w:hAnsiTheme="minorHAnsi" w:cstheme="minorHAnsi"/>
                <w:lang w:val="en-GB"/>
              </w:rPr>
              <w:t>ECMaV</w:t>
            </w:r>
            <w:proofErr w:type="spellEnd"/>
            <w:r w:rsidRPr="00AC7A91">
              <w:rPr>
                <w:rFonts w:asciiTheme="minorHAnsi" w:hAnsiTheme="minorHAnsi" w:cstheme="minorHAnsi"/>
                <w:lang w:val="en-GB"/>
              </w:rPr>
              <w:t>)</w:t>
            </w:r>
            <w:r w:rsidRPr="00AC7A91">
              <w:rPr>
                <w:rFonts w:asciiTheme="minorHAnsi" w:hAnsiTheme="minorHAnsi" w:cstheme="minorHAnsi"/>
              </w:rPr>
              <w:t xml:space="preserve"> fulfils the criteria </w:t>
            </w:r>
            <w:r>
              <w:rPr>
                <w:rFonts w:asciiTheme="minorHAnsi" w:hAnsiTheme="minorHAnsi" w:cstheme="minorHAnsi"/>
              </w:rPr>
              <w:t>established by the International Committee on Taxonomy of Viruses</w:t>
            </w:r>
            <w:r w:rsidRPr="00AC7A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D3B95" w:rsidRPr="004D3B95">
              <w:rPr>
                <w:rFonts w:asciiTheme="minorHAnsi" w:hAnsiTheme="minorHAnsi" w:cstheme="minorHAnsi"/>
                <w:i/>
                <w:iCs/>
              </w:rPr>
              <w:t>Phenuiviridae</w:t>
            </w:r>
            <w:proofErr w:type="spellEnd"/>
            <w:r w:rsidR="004D3B95">
              <w:rPr>
                <w:rFonts w:asciiTheme="minorHAnsi" w:hAnsiTheme="minorHAnsi" w:cstheme="minorHAnsi"/>
              </w:rPr>
              <w:t xml:space="preserve"> Study Group </w:t>
            </w:r>
            <w:r w:rsidRPr="00AC7A91">
              <w:rPr>
                <w:rFonts w:asciiTheme="minorHAnsi" w:hAnsiTheme="minorHAnsi" w:cstheme="minorHAnsi"/>
              </w:rPr>
              <w:t>to be classified as representative member of a</w:t>
            </w:r>
            <w:r>
              <w:rPr>
                <w:rFonts w:asciiTheme="minorHAnsi" w:hAnsiTheme="minorHAnsi" w:cstheme="minorHAnsi"/>
              </w:rPr>
              <w:t xml:space="preserve"> new</w:t>
            </w:r>
            <w:r w:rsidRPr="00AC7A91">
              <w:rPr>
                <w:rFonts w:asciiTheme="minorHAnsi" w:hAnsiTheme="minorHAnsi" w:cstheme="minorHAnsi"/>
              </w:rPr>
              <w:t xml:space="preserve"> species in the </w:t>
            </w:r>
            <w:proofErr w:type="spellStart"/>
            <w:r w:rsidR="004D3B95">
              <w:rPr>
                <w:rFonts w:asciiTheme="minorHAnsi" w:hAnsiTheme="minorHAnsi" w:cstheme="minorHAnsi"/>
              </w:rPr>
              <w:t>phenuivirid</w:t>
            </w:r>
            <w:proofErr w:type="spellEnd"/>
            <w:r w:rsidR="004D3B95">
              <w:rPr>
                <w:rFonts w:asciiTheme="minorHAnsi" w:hAnsiTheme="minorHAnsi" w:cstheme="minorHAnsi"/>
              </w:rPr>
              <w:t xml:space="preserve"> </w:t>
            </w:r>
            <w:r w:rsidRPr="00AC7A91">
              <w:rPr>
                <w:rFonts w:asciiTheme="minorHAnsi" w:hAnsiTheme="minorHAnsi" w:cstheme="minorHAnsi"/>
              </w:rPr>
              <w:t xml:space="preserve">genus </w:t>
            </w:r>
            <w:proofErr w:type="spellStart"/>
            <w:r w:rsidRPr="00AC7A91">
              <w:rPr>
                <w:rFonts w:asciiTheme="minorHAnsi" w:hAnsiTheme="minorHAnsi" w:cstheme="minorHAnsi"/>
                <w:i/>
              </w:rPr>
              <w:t>Coguvirus</w:t>
            </w:r>
            <w:proofErr w:type="spellEnd"/>
            <w:r w:rsidRPr="00AC7A91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The name </w:t>
            </w:r>
            <w:proofErr w:type="spellStart"/>
            <w:r w:rsidRPr="00AC7A91">
              <w:rPr>
                <w:rFonts w:asciiTheme="minorHAnsi" w:hAnsiTheme="minorHAnsi" w:cstheme="minorHAnsi"/>
                <w:i/>
                <w:iCs/>
              </w:rPr>
              <w:t>Coguvirus</w:t>
            </w:r>
            <w:proofErr w:type="spellEnd"/>
            <w:r w:rsidRPr="00AC7A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C7A91">
              <w:rPr>
                <w:rFonts w:asciiTheme="minorHAnsi" w:hAnsiTheme="minorHAnsi" w:cstheme="minorHAnsi"/>
                <w:i/>
                <w:iCs/>
              </w:rPr>
              <w:t>chrysantha</w:t>
            </w:r>
            <w:r>
              <w:rPr>
                <w:rFonts w:asciiTheme="minorHAnsi" w:hAnsiTheme="minorHAnsi" w:cstheme="minorHAnsi"/>
                <w:i/>
                <w:iCs/>
              </w:rPr>
              <w:t>e</w:t>
            </w:r>
            <w:proofErr w:type="spellEnd"/>
            <w:r w:rsidRPr="00AC7A9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is proposed for such a species.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 w:rsidTr="00F33F57">
              <w:tc>
                <w:tcPr>
                  <w:tcW w:w="9002" w:type="dxa"/>
                  <w:shd w:val="clear" w:color="auto" w:fill="auto"/>
                </w:tcPr>
                <w:p w14:paraId="310ED679" w14:textId="23DA1865" w:rsidR="00F33F57" w:rsidRPr="001B6E0C" w:rsidRDefault="00F33F57" w:rsidP="00572B93">
                  <w:pPr>
                    <w:jc w:val="both"/>
                    <w:rPr>
                      <w:rFonts w:asciiTheme="minorHAnsi" w:eastAsia="STIX-Italic" w:hAnsiTheme="minorHAnsi" w:cstheme="minorHAnsi"/>
                      <w:color w:val="000000"/>
                    </w:rPr>
                  </w:pPr>
                  <w:proofErr w:type="spellStart"/>
                  <w:r w:rsidRPr="001B6E0C">
                    <w:rPr>
                      <w:rFonts w:asciiTheme="minorHAnsi" w:hAnsiTheme="minorHAnsi" w:cstheme="minorHAnsi"/>
                      <w:iCs/>
                    </w:rPr>
                    <w:t>Edgeworthia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iCs/>
                    </w:rPr>
                    <w:t>chrysantha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  <w:iCs/>
                    </w:rPr>
                    <w:t xml:space="preserve"> mosaic-associated virus</w:t>
                  </w:r>
                  <w:r w:rsidRPr="001B6E0C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(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ECMaV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)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has been recently identified in China as a novel virus infecting </w:t>
                  </w:r>
                  <w:proofErr w:type="spellStart"/>
                  <w:r w:rsidR="001B6E0C">
                    <w:rPr>
                      <w:rFonts w:asciiTheme="minorHAnsi" w:hAnsiTheme="minorHAnsi" w:cstheme="minorHAnsi"/>
                    </w:rPr>
                    <w:t>t</w:t>
                  </w:r>
                  <w:r w:rsidR="001B6E0C" w:rsidRPr="001B6E0C">
                    <w:rPr>
                      <w:rFonts w:asciiTheme="minorHAnsi" w:hAnsiTheme="minorHAnsi" w:cstheme="minorHAnsi"/>
                    </w:rPr>
                    <w:t>hymelaeaceae</w:t>
                  </w:r>
                  <w:r w:rsidR="001B6E0C">
                    <w:rPr>
                      <w:rFonts w:asciiTheme="minorHAnsi" w:hAnsiTheme="minorHAnsi" w:cstheme="minorHAnsi"/>
                    </w:rPr>
                    <w:t>n</w:t>
                  </w:r>
                  <w:proofErr w:type="spellEnd"/>
                  <w:r w:rsidR="001B6E0C" w:rsidRPr="001B6E0C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  <w:t>Edgeworthia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  <w:t xml:space="preserve">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  <w:t>chrysantha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Lindl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 xml:space="preserve"> (Wang et al., 2022)</w:t>
                  </w:r>
                  <w:r w:rsidRPr="001B6E0C">
                    <w:rPr>
                      <w:rFonts w:asciiTheme="minorHAnsi" w:hAnsiTheme="minorHAnsi" w:cstheme="minorHAnsi"/>
                    </w:rPr>
                    <w:t>. It is a negative-</w:t>
                  </w:r>
                  <w:r w:rsidR="001B6E0C">
                    <w:rPr>
                      <w:rFonts w:asciiTheme="minorHAnsi" w:hAnsiTheme="minorHAnsi" w:cstheme="minorHAnsi"/>
                    </w:rPr>
                    <w:t>sense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RNA virus with a </w:t>
                  </w:r>
                  <w:proofErr w:type="spellStart"/>
                  <w:r w:rsidR="001B6E0C">
                    <w:rPr>
                      <w:rFonts w:asciiTheme="minorHAnsi" w:hAnsiTheme="minorHAnsi" w:cstheme="minorHAnsi"/>
                    </w:rPr>
                    <w:t>bisegmented</w:t>
                  </w:r>
                  <w:proofErr w:type="spellEnd"/>
                  <w:r w:rsidR="001B6E0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1B6E0C">
                    <w:rPr>
                      <w:rFonts w:asciiTheme="minorHAnsi" w:hAnsiTheme="minorHAnsi" w:cstheme="minorHAnsi"/>
                    </w:rPr>
                    <w:t>genome: the negative-</w:t>
                  </w:r>
                  <w:r w:rsidR="001B6E0C">
                    <w:rPr>
                      <w:rFonts w:asciiTheme="minorHAnsi" w:hAnsiTheme="minorHAnsi" w:cstheme="minorHAnsi"/>
                    </w:rPr>
                    <w:t>sense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RNA1 encod</w:t>
                  </w:r>
                  <w:r w:rsidR="00572B93" w:rsidRPr="001B6E0C">
                    <w:rPr>
                      <w:rFonts w:asciiTheme="minorHAnsi" w:hAnsiTheme="minorHAnsi" w:cstheme="minorHAnsi"/>
                    </w:rPr>
                    <w:t>es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the putative RNA-</w:t>
                  </w:r>
                  <w:r w:rsidR="001B6E0C">
                    <w:rPr>
                      <w:rFonts w:asciiTheme="minorHAnsi" w:hAnsiTheme="minorHAnsi" w:cstheme="minorHAnsi"/>
                    </w:rPr>
                    <w:t xml:space="preserve">directed </w:t>
                  </w:r>
                  <w:r w:rsidRPr="001B6E0C">
                    <w:rPr>
                      <w:rFonts w:asciiTheme="minorHAnsi" w:hAnsiTheme="minorHAnsi" w:cstheme="minorHAnsi"/>
                    </w:rPr>
                    <w:t>RNA polymerase (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</w:rPr>
                    <w:t>RdRp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>)</w:t>
                  </w:r>
                  <w:r w:rsidR="00572B93" w:rsidRPr="001B6E0C">
                    <w:rPr>
                      <w:rFonts w:asciiTheme="minorHAnsi" w:hAnsiTheme="minorHAnsi" w:cstheme="minorHAnsi"/>
                    </w:rPr>
                    <w:t>, wh</w:t>
                  </w:r>
                  <w:r w:rsidR="001B6E0C">
                    <w:rPr>
                      <w:rFonts w:asciiTheme="minorHAnsi" w:hAnsiTheme="minorHAnsi" w:cstheme="minorHAnsi"/>
                    </w:rPr>
                    <w:t>ereas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the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</w:rPr>
                    <w:t>ambisense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 RNA2 </w:t>
                  </w:r>
                  <w:r w:rsidR="001B6E0C">
                    <w:rPr>
                      <w:rFonts w:asciiTheme="minorHAnsi" w:hAnsiTheme="minorHAnsi" w:cstheme="minorHAnsi"/>
                    </w:rPr>
                    <w:t>en</w:t>
                  </w:r>
                  <w:r w:rsidR="00572B93" w:rsidRPr="001B6E0C">
                    <w:rPr>
                      <w:rFonts w:asciiTheme="minorHAnsi" w:hAnsiTheme="minorHAnsi" w:cstheme="minorHAnsi"/>
                    </w:rPr>
                    <w:t>codes for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putative movement (MP) and nucleocapsid (NP) proteins. This genomic organization is similar to that reported previously for members of </w:t>
                  </w:r>
                  <w:proofErr w:type="spellStart"/>
                  <w:r w:rsidR="001B6E0C">
                    <w:rPr>
                      <w:rFonts w:asciiTheme="minorHAnsi" w:hAnsiTheme="minorHAnsi" w:cstheme="minorHAnsi"/>
                    </w:rPr>
                    <w:t>phenuivirid</w:t>
                  </w:r>
                  <w:proofErr w:type="spellEnd"/>
                  <w:r w:rsidR="001B6E0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1B6E0C">
                    <w:rPr>
                      <w:rFonts w:asciiTheme="minorHAnsi" w:hAnsiTheme="minorHAnsi" w:cstheme="minorHAnsi"/>
                    </w:rPr>
                    <w:t>genus</w:t>
                  </w:r>
                  <w:r w:rsidRPr="001B6E0C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i/>
                      <w:iCs/>
                    </w:rPr>
                    <w:t>Coguvirus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. </w:t>
                  </w:r>
                  <w:r w:rsidRPr="001B6E0C">
                    <w:rPr>
                      <w:rFonts w:asciiTheme="minorHAnsi" w:eastAsia="STIX-Italic" w:hAnsiTheme="minorHAnsi" w:cstheme="minorHAnsi"/>
                      <w:color w:val="000000"/>
                      <w:lang w:bidi="ar"/>
                    </w:rPr>
                    <w:t>T</w:t>
                  </w:r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he 5’ and 3’ terminal sequences (approximately 20 nucleotides) of each genomic RNA of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ECMaV</w:t>
                  </w:r>
                  <w:proofErr w:type="spellEnd"/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 are complementary (Fig. 1), thus allowing the formation of panhandle structure</w:t>
                  </w:r>
                  <w:r w:rsidR="001B6E0C">
                    <w:rPr>
                      <w:rFonts w:asciiTheme="minorHAnsi" w:eastAsia="STIX-Italic" w:hAnsiTheme="minorHAnsi" w:cstheme="minorHAnsi"/>
                      <w:color w:val="000000"/>
                    </w:rPr>
                    <w:t>s</w:t>
                  </w:r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 (Fig. 2) typical of all members of order </w:t>
                  </w:r>
                  <w:proofErr w:type="spellStart"/>
                  <w:r w:rsidRPr="001B6E0C">
                    <w:rPr>
                      <w:rFonts w:asciiTheme="minorHAnsi" w:eastAsia="STIX-Italic" w:hAnsiTheme="minorHAnsi" w:cstheme="minorHAnsi"/>
                      <w:i/>
                      <w:color w:val="000000"/>
                    </w:rPr>
                    <w:t>Bunyavirales</w:t>
                  </w:r>
                  <w:proofErr w:type="spellEnd"/>
                  <w:r w:rsidRPr="00817BC2">
                    <w:rPr>
                      <w:rFonts w:asciiTheme="minorHAnsi" w:eastAsia="STIX-Italic" w:hAnsiTheme="minorHAnsi" w:cstheme="minorHAnsi"/>
                      <w:i/>
                      <w:color w:val="000000"/>
                    </w:rPr>
                    <w:t xml:space="preserve"> </w:t>
                  </w:r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and likely required for viral </w:t>
                  </w:r>
                  <w:r w:rsidRPr="001B6E0C">
                    <w:rPr>
                      <w:rFonts w:asciiTheme="minorHAnsi" w:eastAsia="STIX-Italic" w:hAnsiTheme="minorHAnsi" w:cstheme="minorHAnsi"/>
                    </w:rPr>
                    <w:t xml:space="preserve">replication </w:t>
                  </w:r>
                  <w:r w:rsidRPr="001B6E0C">
                    <w:rPr>
                      <w:rFonts w:asciiTheme="minorHAnsi" w:eastAsia="STIX-Italic" w:hAnsiTheme="minorHAnsi" w:cstheme="minorHAnsi"/>
                      <w:lang w:bidi="ar"/>
                    </w:rPr>
                    <w:t>(</w:t>
                  </w:r>
                  <w:r w:rsidRPr="001B6E0C">
                    <w:rPr>
                      <w:rFonts w:asciiTheme="minorHAnsi" w:eastAsia="STIX-Italic" w:hAnsiTheme="minorHAnsi" w:cstheme="minorHAnsi"/>
                    </w:rPr>
                    <w:t xml:space="preserve">Navarro et al., 2018a; </w:t>
                  </w:r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Wang et al., 2022</w:t>
                  </w:r>
                  <w:r w:rsidRPr="001B6E0C">
                    <w:rPr>
                      <w:rFonts w:asciiTheme="minorHAnsi" w:eastAsia="STIX-Italic" w:hAnsiTheme="minorHAnsi" w:cstheme="minorHAnsi"/>
                    </w:rPr>
                    <w:t>)</w:t>
                  </w:r>
                  <w:r w:rsidRPr="001B6E0C">
                    <w:rPr>
                      <w:rFonts w:asciiTheme="minorHAnsi" w:eastAsia="STIX-Italic" w:hAnsiTheme="minorHAnsi" w:cstheme="minorHAnsi"/>
                      <w:lang w:bidi="ar"/>
                    </w:rPr>
                    <w:t xml:space="preserve">. In addition, 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the 5’ and 3’ termini of the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ECMaV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 genomic RNA1 and RNA2 consist of the nucleotide sequences ACACA and UGUGU at the 5’ and 3’ termini, respectively (Fig. 1), which are conserved in all members of </w:t>
                  </w:r>
                  <w:r w:rsidR="001B6E0C">
                    <w:rPr>
                      <w:rFonts w:asciiTheme="minorHAnsi" w:hAnsiTheme="minorHAnsi" w:cstheme="minorHAnsi"/>
                    </w:rPr>
                    <w:t>bunyaviral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family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i/>
                    </w:rPr>
                    <w:t>Phenuiviridae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1B6E0C">
                    <w:rPr>
                      <w:rFonts w:asciiTheme="minorHAnsi" w:eastAsiaTheme="minorEastAsia" w:hAnsiTheme="minorHAnsi" w:cstheme="minorHAnsi"/>
                    </w:rPr>
                    <w:t>(Tang et al., 2021).</w:t>
                  </w:r>
                  <w:r w:rsidRPr="001B6E0C">
                    <w:rPr>
                      <w:rFonts w:asciiTheme="minorHAnsi" w:eastAsia="STIX-Italic" w:hAnsiTheme="minorHAnsi" w:cstheme="minorHAnsi"/>
                      <w:color w:val="000000"/>
                      <w:lang w:bidi="ar"/>
                    </w:rPr>
                    <w:t xml:space="preserve"> 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The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</w:rPr>
                    <w:t>RdRP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 of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ECMaV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>contains the typical six motifs (</w:t>
                  </w:r>
                  <w:proofErr w:type="spellStart"/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>premotif</w:t>
                  </w:r>
                  <w:proofErr w:type="spellEnd"/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 A, motifs A</w:t>
                  </w:r>
                  <w:r w:rsidR="001B6E0C">
                    <w:rPr>
                      <w:rFonts w:asciiTheme="minorHAnsi" w:eastAsia="STIX-Italic" w:hAnsiTheme="minorHAnsi" w:cstheme="minorHAnsi"/>
                      <w:color w:val="000000"/>
                    </w:rPr>
                    <w:t>–</w:t>
                  </w:r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E) that are highly conserved in the </w:t>
                  </w:r>
                  <w:proofErr w:type="spellStart"/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>RdRps</w:t>
                  </w:r>
                  <w:proofErr w:type="spellEnd"/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 of members of the order </w:t>
                  </w:r>
                  <w:proofErr w:type="spellStart"/>
                  <w:r w:rsidRPr="001B6E0C">
                    <w:rPr>
                      <w:rFonts w:asciiTheme="minorHAnsi" w:eastAsia="STIX-Italic" w:hAnsiTheme="minorHAnsi" w:cstheme="minorHAnsi"/>
                      <w:i/>
                      <w:iCs/>
                      <w:color w:val="000000"/>
                    </w:rPr>
                    <w:t>Bunyavirales</w:t>
                  </w:r>
                  <w:proofErr w:type="spellEnd"/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 (Xin et al., 2017; Chen et al. 2021) (Fig. 3). This protein has amino acid (aa) identity ranging from </w:t>
                  </w:r>
                  <w:r w:rsidR="00D44E5E"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>37</w:t>
                  </w:r>
                  <w:r w:rsidR="0065470F">
                    <w:rPr>
                      <w:rFonts w:asciiTheme="minorHAnsi" w:eastAsia="STIX-Italic" w:hAnsiTheme="minorHAnsi" w:cstheme="minorHAnsi"/>
                      <w:color w:val="000000"/>
                    </w:rPr>
                    <w:t>.</w:t>
                  </w:r>
                  <w:r w:rsidR="00D44E5E"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58 </w:t>
                  </w:r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 xml:space="preserve">% to 74.88 % with the </w:t>
                  </w:r>
                  <w:proofErr w:type="spellStart"/>
                  <w:r w:rsidRPr="001B6E0C">
                    <w:rPr>
                      <w:rFonts w:asciiTheme="minorHAnsi" w:eastAsia="STIX-Italic" w:hAnsiTheme="minorHAnsi" w:cstheme="minorHAnsi"/>
                      <w:color w:val="000000"/>
                    </w:rPr>
                    <w:t>RdRps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 of </w:t>
                  </w:r>
                  <w:r w:rsidR="001B6E0C">
                    <w:rPr>
                      <w:rFonts w:asciiTheme="minorHAnsi" w:hAnsiTheme="minorHAnsi" w:cstheme="minorHAnsi"/>
                    </w:rPr>
                    <w:t xml:space="preserve">classified </w:t>
                  </w:r>
                  <w:proofErr w:type="spellStart"/>
                  <w:r w:rsidR="001B6E0C">
                    <w:rPr>
                      <w:rFonts w:asciiTheme="minorHAnsi" w:hAnsiTheme="minorHAnsi" w:cstheme="minorHAnsi"/>
                    </w:rPr>
                    <w:t>coguviruses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, </w:t>
                  </w:r>
                  <w:r w:rsidR="00D44E5E" w:rsidRPr="001B6E0C">
                    <w:rPr>
                      <w:rFonts w:asciiTheme="minorHAnsi" w:hAnsiTheme="minorHAnsi" w:cstheme="minorHAnsi"/>
                    </w:rPr>
                    <w:t xml:space="preserve">with the highest identity value obtained with the </w:t>
                  </w:r>
                  <w:proofErr w:type="spellStart"/>
                  <w:r w:rsidR="00D44E5E" w:rsidRPr="001B6E0C">
                    <w:rPr>
                      <w:rFonts w:asciiTheme="minorHAnsi" w:hAnsiTheme="minorHAnsi" w:cstheme="minorHAnsi"/>
                    </w:rPr>
                    <w:t>RdRp</w:t>
                  </w:r>
                  <w:proofErr w:type="spellEnd"/>
                  <w:r w:rsidR="00D44E5E" w:rsidRPr="001B6E0C">
                    <w:rPr>
                      <w:rFonts w:asciiTheme="minorHAnsi" w:hAnsiTheme="minorHAnsi" w:cstheme="minorHAnsi"/>
                    </w:rPr>
                    <w:t xml:space="preserve"> encoded by </w:t>
                  </w:r>
                  <w:proofErr w:type="spellStart"/>
                  <w:r w:rsidR="001B6E0C" w:rsidRPr="001B6E0C">
                    <w:rPr>
                      <w:rFonts w:asciiTheme="minorHAnsi" w:hAnsiTheme="minorHAnsi" w:cstheme="minorHAnsi"/>
                    </w:rPr>
                    <w:t>Yúnnán</w:t>
                  </w:r>
                  <w:proofErr w:type="spellEnd"/>
                  <w:r w:rsidR="00D44E5E" w:rsidRPr="001B6E0C">
                    <w:rPr>
                      <w:rFonts w:asciiTheme="minorHAnsi" w:hAnsiTheme="minorHAnsi" w:cstheme="minorHAnsi"/>
                    </w:rPr>
                    <w:t xml:space="preserve"> Paris negative-stranded virus 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(Fig. 4A). </w:t>
                  </w:r>
                </w:p>
                <w:p w14:paraId="2146B3A7" w14:textId="77777777" w:rsidR="00F33F57" w:rsidRPr="001B6E0C" w:rsidRDefault="00F33F57" w:rsidP="00572B93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3066E363" w14:textId="076AAAE1" w:rsidR="00F33F57" w:rsidRPr="001B6E0C" w:rsidRDefault="00F33F57" w:rsidP="00572B93">
                  <w:pPr>
                    <w:tabs>
                      <w:tab w:val="left" w:pos="7277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1B6E0C">
                    <w:rPr>
                      <w:rFonts w:asciiTheme="minorHAnsi" w:hAnsiTheme="minorHAnsi" w:cstheme="minorHAnsi"/>
                    </w:rPr>
                    <w:t>The amino acid (aa) sequence identit</w:t>
                  </w:r>
                  <w:r w:rsidR="001B6E0C">
                    <w:rPr>
                      <w:rFonts w:asciiTheme="minorHAnsi" w:hAnsiTheme="minorHAnsi" w:cstheme="minorHAnsi"/>
                    </w:rPr>
                    <w:t>ies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of the putative N protein with </w:t>
                  </w:r>
                  <w:r w:rsidR="001B6E0C">
                    <w:rPr>
                      <w:rFonts w:asciiTheme="minorHAnsi" w:hAnsiTheme="minorHAnsi" w:cstheme="minorHAnsi"/>
                    </w:rPr>
                    <w:t>those of classified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</w:rPr>
                    <w:t>coguviru</w:t>
                  </w:r>
                  <w:r w:rsidR="001B6E0C">
                    <w:rPr>
                      <w:rFonts w:asciiTheme="minorHAnsi" w:hAnsiTheme="minorHAnsi" w:cstheme="minorHAnsi"/>
                    </w:rPr>
                    <w:t>s</w:t>
                  </w:r>
                  <w:r w:rsidRPr="001B6E0C">
                    <w:rPr>
                      <w:rFonts w:asciiTheme="minorHAnsi" w:hAnsiTheme="minorHAnsi" w:cstheme="minorHAnsi"/>
                    </w:rPr>
                    <w:t>es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 ranges from </w:t>
                  </w:r>
                  <w:r w:rsidR="00D44E5E" w:rsidRPr="001B6E0C">
                    <w:rPr>
                      <w:rFonts w:asciiTheme="minorHAnsi" w:hAnsiTheme="minorHAnsi" w:cstheme="minorHAnsi"/>
                    </w:rPr>
                    <w:t>25</w:t>
                  </w:r>
                  <w:r w:rsidRPr="001B6E0C">
                    <w:rPr>
                      <w:rFonts w:asciiTheme="minorHAnsi" w:hAnsiTheme="minorHAnsi" w:cstheme="minorHAnsi"/>
                    </w:rPr>
                    <w:t>.</w:t>
                  </w:r>
                  <w:r w:rsidR="00D44E5E" w:rsidRPr="001B6E0C">
                    <w:rPr>
                      <w:rFonts w:asciiTheme="minorHAnsi" w:hAnsiTheme="minorHAnsi" w:cstheme="minorHAnsi"/>
                    </w:rPr>
                    <w:t>3</w:t>
                  </w:r>
                  <w:r w:rsidRPr="001B6E0C">
                    <w:rPr>
                      <w:rFonts w:asciiTheme="minorHAnsi" w:hAnsiTheme="minorHAnsi" w:cstheme="minorHAnsi"/>
                    </w:rPr>
                    <w:t xml:space="preserve">7% to 65.80 %, with the highest identity value obtained with the N protein encoded by </w:t>
                  </w:r>
                  <w:proofErr w:type="spellStart"/>
                  <w:r w:rsidR="001B6E0C" w:rsidRPr="001B6E0C">
                    <w:rPr>
                      <w:rFonts w:asciiTheme="minorHAnsi" w:hAnsiTheme="minorHAnsi" w:cstheme="minorHAnsi"/>
                    </w:rPr>
                    <w:t>Yúnnán</w:t>
                  </w:r>
                  <w:proofErr w:type="spellEnd"/>
                  <w:r w:rsidRPr="001B6E0C">
                    <w:rPr>
                      <w:rFonts w:asciiTheme="minorHAnsi" w:hAnsiTheme="minorHAnsi" w:cstheme="minorHAnsi"/>
                    </w:rPr>
                    <w:t xml:space="preserve"> Paris negative-stranded virus (Fig. 4B). </w:t>
                  </w:r>
                </w:p>
                <w:p w14:paraId="5FCE1623" w14:textId="77777777" w:rsidR="00F33F57" w:rsidRPr="001B6E0C" w:rsidRDefault="00F33F57" w:rsidP="00572B93">
                  <w:pPr>
                    <w:jc w:val="both"/>
                    <w:rPr>
                      <w:rFonts w:asciiTheme="minorHAnsi" w:eastAsia="STIX-Italic" w:hAnsiTheme="minorHAnsi" w:cstheme="minorHAnsi"/>
                      <w:b/>
                      <w:bCs/>
                      <w:color w:val="000000"/>
                      <w:lang w:bidi="ar"/>
                    </w:rPr>
                  </w:pPr>
                </w:p>
                <w:p w14:paraId="00341848" w14:textId="45E996D6" w:rsidR="00F33F57" w:rsidRPr="001B6E0C" w:rsidRDefault="001B6E0C" w:rsidP="00572B93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Theme="minorHAnsi" w:hAnsiTheme="minorHAnsi" w:cstheme="minorHAnsi"/>
                    </w:rPr>
                    <w:t>A m</w:t>
                  </w:r>
                  <w:r w:rsidR="00F33F57" w:rsidRPr="001B6E0C">
                    <w:rPr>
                      <w:rFonts w:asciiTheme="minorHAnsi" w:hAnsiTheme="minorHAnsi" w:cstheme="minorHAnsi"/>
                    </w:rPr>
                    <w:t xml:space="preserve">aximum likelihood phylogenetic tree was generated using amino acid sequences of the putative </w:t>
                  </w:r>
                  <w:proofErr w:type="spellStart"/>
                  <w:r w:rsidR="00F33F57" w:rsidRPr="001B6E0C">
                    <w:rPr>
                      <w:rFonts w:asciiTheme="minorHAnsi" w:hAnsiTheme="minorHAnsi" w:cstheme="minorHAnsi"/>
                    </w:rPr>
                    <w:t>RdRp</w:t>
                  </w:r>
                  <w:proofErr w:type="spellEnd"/>
                  <w:r w:rsidR="00F33F57" w:rsidRPr="001B6E0C">
                    <w:rPr>
                      <w:rFonts w:asciiTheme="minorHAnsi" w:hAnsiTheme="minorHAnsi" w:cstheme="minorHAnsi"/>
                    </w:rPr>
                    <w:t xml:space="preserve"> encoded by </w:t>
                  </w:r>
                  <w:proofErr w:type="spellStart"/>
                  <w:r w:rsidR="00F33F57" w:rsidRPr="001B6E0C">
                    <w:rPr>
                      <w:rFonts w:asciiTheme="minorHAnsi" w:hAnsiTheme="minorHAnsi" w:cstheme="minorHAnsi"/>
                      <w:lang w:val="en-GB"/>
                    </w:rPr>
                    <w:t>ECMaV</w:t>
                  </w:r>
                  <w:proofErr w:type="spellEnd"/>
                  <w:r w:rsidR="00F33F57" w:rsidRPr="001B6E0C">
                    <w:rPr>
                      <w:rFonts w:asciiTheme="minorHAnsi" w:eastAsia="STIX-Italic" w:hAnsiTheme="minorHAnsi" w:cstheme="minorHAnsi"/>
                    </w:rPr>
                    <w:t xml:space="preserve"> and representative members of all the genera of the</w:t>
                  </w:r>
                  <w:r w:rsidR="00F33F57" w:rsidRPr="001B6E0C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proofErr w:type="spellStart"/>
                  <w:r w:rsidR="00F33F57" w:rsidRPr="001B6E0C">
                    <w:rPr>
                      <w:rFonts w:asciiTheme="minorHAnsi" w:hAnsiTheme="minorHAnsi" w:cstheme="minorHAnsi"/>
                      <w:i/>
                    </w:rPr>
                    <w:t>Phenuiviridae</w:t>
                  </w:r>
                  <w:proofErr w:type="spellEnd"/>
                  <w:r w:rsidR="00F33F57" w:rsidRPr="001B6E0C">
                    <w:rPr>
                      <w:rFonts w:asciiTheme="minorHAnsi" w:eastAsia="STIX-Italic" w:hAnsiTheme="minorHAnsi" w:cstheme="minorHAnsi"/>
                    </w:rPr>
                    <w:t xml:space="preserve"> family. </w:t>
                  </w:r>
                  <w:r w:rsidR="00F33F57" w:rsidRPr="001B6E0C">
                    <w:rPr>
                      <w:rFonts w:asciiTheme="minorHAnsi" w:hAnsiTheme="minorHAnsi" w:cstheme="minorHAnsi"/>
                    </w:rPr>
                    <w:t xml:space="preserve">In such a tree, </w:t>
                  </w:r>
                  <w:proofErr w:type="spellStart"/>
                  <w:r w:rsidR="00F33F57" w:rsidRPr="001B6E0C">
                    <w:rPr>
                      <w:rFonts w:asciiTheme="minorHAnsi" w:hAnsiTheme="minorHAnsi" w:cstheme="minorHAnsi"/>
                      <w:lang w:val="en-GB"/>
                    </w:rPr>
                    <w:t>ECMaV</w:t>
                  </w:r>
                  <w:proofErr w:type="spellEnd"/>
                  <w:r w:rsidR="00F33F57" w:rsidRPr="001B6E0C">
                    <w:rPr>
                      <w:rFonts w:asciiTheme="minorHAnsi" w:hAnsiTheme="minorHAnsi" w:cstheme="minorHAnsi"/>
                    </w:rPr>
                    <w:t xml:space="preserve"> clusters </w:t>
                  </w:r>
                  <w:r>
                    <w:rPr>
                      <w:rFonts w:asciiTheme="minorHAnsi" w:hAnsiTheme="minorHAnsi" w:cstheme="minorHAnsi"/>
                    </w:rPr>
                    <w:t xml:space="preserve">with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coguviruses</w:t>
                  </w:r>
                  <w:proofErr w:type="spellEnd"/>
                  <w:r w:rsidR="00F33F57" w:rsidRPr="001B6E0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33F57" w:rsidRPr="001B6E0C">
                    <w:rPr>
                      <w:rFonts w:ascii="Calibri" w:hAnsi="Calibri" w:cs="Calibri"/>
                    </w:rPr>
                    <w:t xml:space="preserve">(Fig. 5). The high bootstrap values in the phylogenetic tree strongly support the classification of </w:t>
                  </w:r>
                  <w:proofErr w:type="spellStart"/>
                  <w:r w:rsidR="00F33F57" w:rsidRPr="001B6E0C">
                    <w:rPr>
                      <w:rFonts w:ascii="Calibri" w:hAnsi="Calibri" w:cs="Calibri"/>
                    </w:rPr>
                    <w:t>ECMaV</w:t>
                  </w:r>
                  <w:proofErr w:type="spellEnd"/>
                  <w:r w:rsidR="00F33F57" w:rsidRPr="001B6E0C">
                    <w:rPr>
                      <w:rFonts w:ascii="Calibri" w:hAnsi="Calibri" w:cs="Calibri"/>
                    </w:rPr>
                    <w:t xml:space="preserve"> in the genus </w:t>
                  </w:r>
                  <w:proofErr w:type="spellStart"/>
                  <w:r w:rsidR="00F33F57" w:rsidRPr="001B6E0C">
                    <w:rPr>
                      <w:rFonts w:ascii="Calibri" w:hAnsi="Calibri" w:cs="Calibri"/>
                      <w:i/>
                    </w:rPr>
                    <w:t>Coguvirus</w:t>
                  </w:r>
                  <w:proofErr w:type="spellEnd"/>
                  <w:r w:rsidR="00F33F57" w:rsidRPr="001B6E0C">
                    <w:rPr>
                      <w:rFonts w:ascii="Calibri" w:hAnsi="Calibri" w:cs="Calibri"/>
                    </w:rPr>
                    <w:t xml:space="preserve">. </w:t>
                  </w:r>
                </w:p>
                <w:p w14:paraId="69943448" w14:textId="77777777" w:rsidR="00F33F57" w:rsidRPr="001B6E0C" w:rsidRDefault="00F33F57" w:rsidP="00572B93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14:paraId="75A69BDA" w14:textId="0B5F2E2C" w:rsidR="00F33F57" w:rsidRPr="001B6E0C" w:rsidRDefault="00F33F57" w:rsidP="00572B93">
                  <w:pPr>
                    <w:jc w:val="both"/>
                    <w:rPr>
                      <w:rFonts w:ascii="Calibri" w:hAnsi="Calibri"/>
                    </w:rPr>
                  </w:pPr>
                  <w:r w:rsidRPr="001B6E0C">
                    <w:rPr>
                      <w:rFonts w:ascii="Calibri" w:hAnsi="Calibri" w:cs="Calibri"/>
                    </w:rPr>
                    <w:lastRenderedPageBreak/>
                    <w:t xml:space="preserve">The demarcation criterion for the species of the genus </w:t>
                  </w:r>
                  <w:proofErr w:type="spellStart"/>
                  <w:r w:rsidRPr="001B6E0C">
                    <w:rPr>
                      <w:rFonts w:ascii="Calibri" w:hAnsi="Calibri" w:cs="Calibri"/>
                      <w:i/>
                    </w:rPr>
                    <w:t>Coguvirus</w:t>
                  </w:r>
                  <w:proofErr w:type="spellEnd"/>
                  <w:r w:rsidRPr="001B6E0C">
                    <w:rPr>
                      <w:rFonts w:ascii="Calibri" w:hAnsi="Calibri" w:cs="Calibri"/>
                    </w:rPr>
                    <w:t xml:space="preserve"> has been established as less than 95% identity in the aa sequence of the </w:t>
                  </w:r>
                  <w:proofErr w:type="spellStart"/>
                  <w:r w:rsidRPr="001B6E0C">
                    <w:rPr>
                      <w:rFonts w:ascii="Calibri" w:hAnsi="Calibri" w:cs="Calibri"/>
                    </w:rPr>
                    <w:t>RdRp</w:t>
                  </w:r>
                  <w:proofErr w:type="spellEnd"/>
                  <w:r w:rsidRPr="001B6E0C">
                    <w:rPr>
                      <w:rFonts w:ascii="Calibri" w:hAnsi="Calibri" w:cs="Calibri"/>
                    </w:rPr>
                    <w:t xml:space="preserve"> (ratified taxonomic proposal 2019.026M.A.v1). Since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ECMaV</w:t>
                  </w:r>
                  <w:proofErr w:type="spellEnd"/>
                  <w:r w:rsidRPr="001B6E0C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1B6E0C">
                    <w:rPr>
                      <w:rFonts w:ascii="Calibri" w:hAnsi="Calibri" w:cs="Calibri"/>
                    </w:rPr>
                    <w:t>RdRp</w:t>
                  </w:r>
                  <w:proofErr w:type="spellEnd"/>
                  <w:r w:rsidRPr="001B6E0C">
                    <w:rPr>
                      <w:rFonts w:ascii="Calibri" w:hAnsi="Calibri" w:cs="Calibri"/>
                    </w:rPr>
                    <w:t xml:space="preserve"> </w:t>
                  </w:r>
                  <w:r w:rsidR="00712D9E">
                    <w:rPr>
                      <w:rFonts w:ascii="Calibri" w:hAnsi="Calibri" w:cs="Calibri"/>
                    </w:rPr>
                    <w:t>has</w:t>
                  </w:r>
                  <w:r w:rsidRPr="001B6E0C">
                    <w:rPr>
                      <w:rFonts w:ascii="Calibri" w:hAnsi="Calibri" w:cs="Calibri"/>
                    </w:rPr>
                    <w:t xml:space="preserve"> an aa sequence identity ranging  from </w:t>
                  </w:r>
                  <w:r w:rsidRPr="001B6E0C">
                    <w:rPr>
                      <w:rFonts w:asciiTheme="minorHAnsi" w:hAnsiTheme="minorHAnsi" w:cstheme="minorHAnsi"/>
                    </w:rPr>
                    <w:t>37.58% to 74.88 %,</w:t>
                  </w:r>
                  <w:r w:rsidRPr="001B6E0C">
                    <w:rPr>
                      <w:rFonts w:ascii="Calibri" w:hAnsi="Calibri" w:cs="Calibri"/>
                    </w:rPr>
                    <w:t xml:space="preserve"> with the other members of the genus </w:t>
                  </w:r>
                  <w:proofErr w:type="spellStart"/>
                  <w:r w:rsidRPr="001B6E0C">
                    <w:rPr>
                      <w:rFonts w:ascii="Calibri" w:hAnsi="Calibri" w:cs="Calibri"/>
                      <w:i/>
                    </w:rPr>
                    <w:t>Coguvirus</w:t>
                  </w:r>
                  <w:proofErr w:type="spellEnd"/>
                  <w:r w:rsidRPr="001B6E0C">
                    <w:rPr>
                      <w:rFonts w:ascii="Calibri" w:hAnsi="Calibri" w:cs="Calibri"/>
                    </w:rPr>
                    <w:t xml:space="preserve">, we propose to classify 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lang w:val="en-GB"/>
                    </w:rPr>
                    <w:t>ECMaV</w:t>
                  </w:r>
                  <w:proofErr w:type="spellEnd"/>
                  <w:r w:rsidRPr="001B6E0C">
                    <w:rPr>
                      <w:rFonts w:ascii="Calibri" w:hAnsi="Calibri" w:cs="Calibri"/>
                    </w:rPr>
                    <w:t xml:space="preserve"> as a member of a novel species, named </w:t>
                  </w:r>
                  <w:proofErr w:type="spellStart"/>
                  <w:r w:rsidRPr="001B6E0C">
                    <w:rPr>
                      <w:rFonts w:ascii="Calibri" w:hAnsi="Calibri" w:cs="Calibri"/>
                      <w:i/>
                      <w:iCs/>
                    </w:rPr>
                    <w:t>Coguvirus</w:t>
                  </w:r>
                  <w:proofErr w:type="spellEnd"/>
                  <w:r w:rsidRPr="001B6E0C">
                    <w:rPr>
                      <w:rFonts w:ascii="Calibri" w:hAnsi="Calibri" w:cs="Calibri"/>
                      <w:i/>
                      <w:iCs/>
                    </w:rPr>
                    <w:t xml:space="preserve"> </w:t>
                  </w:r>
                  <w:proofErr w:type="spellStart"/>
                  <w:r w:rsidRPr="001B6E0C">
                    <w:rPr>
                      <w:rFonts w:ascii="Calibri" w:hAnsi="Calibri" w:cs="Calibri"/>
                      <w:i/>
                      <w:iCs/>
                    </w:rPr>
                    <w:t>chrysanta</w:t>
                  </w:r>
                  <w:r w:rsidR="0065470F">
                    <w:rPr>
                      <w:rFonts w:ascii="Calibri" w:hAnsi="Calibri" w:cs="Calibri"/>
                      <w:i/>
                      <w:iCs/>
                    </w:rPr>
                    <w:t>e</w:t>
                  </w:r>
                  <w:proofErr w:type="spellEnd"/>
                  <w:r w:rsidRPr="001B6E0C">
                    <w:rPr>
                      <w:rFonts w:ascii="Calibri" w:hAnsi="Calibri" w:cs="Calibri"/>
                    </w:rPr>
                    <w:t xml:space="preserve">. </w:t>
                  </w:r>
                </w:p>
                <w:p w14:paraId="13B5DF6D" w14:textId="77777777" w:rsidR="00F33F57" w:rsidRPr="001B6E0C" w:rsidRDefault="00F33F57" w:rsidP="00572B93">
                  <w:pPr>
                    <w:jc w:val="both"/>
                    <w:rPr>
                      <w:rFonts w:ascii="Calibri" w:hAnsi="Calibri"/>
                    </w:rPr>
                  </w:pPr>
                </w:p>
                <w:p w14:paraId="65917C70" w14:textId="24A11C94" w:rsidR="00A174CC" w:rsidRDefault="00F33F57" w:rsidP="004D3B95">
                  <w:pPr>
                    <w:jc w:val="both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1B6E0C">
                    <w:rPr>
                      <w:rFonts w:ascii="Calibri" w:hAnsi="Calibri"/>
                      <w:b/>
                    </w:rPr>
                    <w:t xml:space="preserve">Origin of the name of the species: </w:t>
                  </w:r>
                  <w:proofErr w:type="spellStart"/>
                  <w:r w:rsidRPr="001B6E0C">
                    <w:rPr>
                      <w:rFonts w:ascii="Calibri" w:hAnsi="Calibri" w:cs="Calibri"/>
                      <w:i/>
                      <w:iCs/>
                    </w:rPr>
                    <w:t>chrysantae</w:t>
                  </w:r>
                  <w:proofErr w:type="spellEnd"/>
                  <w:r w:rsidRPr="001B6E0C">
                    <w:rPr>
                      <w:rFonts w:ascii="Calibri" w:hAnsi="Calibri" w:cs="Calibri"/>
                      <w:i/>
                      <w:iCs/>
                    </w:rPr>
                    <w:t xml:space="preserve"> </w:t>
                  </w:r>
                  <w:r w:rsidRPr="001B6E0C">
                    <w:rPr>
                      <w:rFonts w:ascii="Calibri" w:hAnsi="Calibri" w:cs="Calibri"/>
                      <w:iCs/>
                    </w:rPr>
                    <w:t>derives from</w:t>
                  </w:r>
                  <w:r w:rsidRPr="001B6E0C">
                    <w:rPr>
                      <w:rFonts w:ascii="Calibri" w:hAnsi="Calibri"/>
                    </w:rPr>
                    <w:t xml:space="preserve"> the name of the plant </w:t>
                  </w:r>
                  <w:r w:rsidR="0065470F" w:rsidRPr="001B6E0C">
                    <w:rPr>
                      <w:rFonts w:ascii="Calibri" w:hAnsi="Calibri"/>
                    </w:rPr>
                    <w:t xml:space="preserve">species </w:t>
                  </w:r>
                  <w:r w:rsidRPr="001B6E0C">
                    <w:rPr>
                      <w:rFonts w:ascii="Calibri" w:hAnsi="Calibri"/>
                    </w:rPr>
                    <w:t>(</w:t>
                  </w:r>
                  <w:proofErr w:type="spellStart"/>
                  <w:r w:rsidRPr="001B6E0C">
                    <w:rPr>
                      <w:rFonts w:asciiTheme="minorHAnsi" w:hAnsiTheme="minorHAnsi" w:cstheme="minorHAnsi"/>
                      <w:i/>
                      <w:iCs/>
                    </w:rPr>
                    <w:t>Edgeworthia</w:t>
                  </w:r>
                  <w:proofErr w:type="spellEnd"/>
                  <w:r w:rsidRPr="001B6E0C">
                    <w:rPr>
                      <w:rFonts w:ascii="Calibri" w:hAnsi="Calibri" w:cs="Calibri"/>
                      <w:i/>
                      <w:iCs/>
                    </w:rPr>
                    <w:t xml:space="preserve"> </w:t>
                  </w:r>
                  <w:proofErr w:type="spellStart"/>
                  <w:r w:rsidRPr="001B6E0C">
                    <w:rPr>
                      <w:rFonts w:ascii="Calibri" w:hAnsi="Calibri" w:cs="Calibri"/>
                      <w:i/>
                      <w:iCs/>
                    </w:rPr>
                    <w:t>chrysanta</w:t>
                  </w:r>
                  <w:proofErr w:type="spellEnd"/>
                  <w:r w:rsidRPr="001B6E0C">
                    <w:rPr>
                      <w:rFonts w:ascii="Calibri" w:hAnsi="Calibri"/>
                    </w:rPr>
                    <w:t>) in which the virus has been identified for the first time.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2BE143BF" w14:textId="77777777" w:rsidR="00817BC2" w:rsidRDefault="00817BC2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6573F094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38AB651B" w14:textId="77777777" w:rsidR="00817BC2" w:rsidRDefault="00817BC2" w:rsidP="00F33F57">
      <w:pPr>
        <w:pStyle w:val="BodyTextIndent"/>
        <w:spacing w:before="120" w:after="120"/>
        <w:ind w:left="0" w:firstLine="0"/>
        <w:rPr>
          <w:rFonts w:asciiTheme="minorHAnsi" w:eastAsiaTheme="minorEastAsia" w:hAnsiTheme="minorBidi"/>
          <w:color w:val="000000" w:themeColor="text1"/>
          <w:kern w:val="24"/>
        </w:rPr>
      </w:pPr>
    </w:p>
    <w:p w14:paraId="0E8CB84F" w14:textId="5DE1C0B9" w:rsidR="00F33F57" w:rsidRPr="00F33F57" w:rsidRDefault="00F33F57" w:rsidP="00F33F57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Theme="minorHAnsi" w:eastAsiaTheme="minorEastAsia" w:hAnsiTheme="minorBidi"/>
          <w:color w:val="000000" w:themeColor="text1"/>
          <w:kern w:val="24"/>
        </w:rPr>
        <w:t>5</w:t>
      </w:r>
      <w:r>
        <w:rPr>
          <w:rFonts w:ascii="Courier New" w:eastAsiaTheme="minorEastAsia" w:hAnsi="Courier New" w:cs="Courier New"/>
          <w:color w:val="000000" w:themeColor="text1"/>
          <w:kern w:val="24"/>
        </w:rPr>
        <w:t>’</w:t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</w:r>
      <w:r>
        <w:rPr>
          <w:rFonts w:ascii="Courier New" w:eastAsiaTheme="minorEastAsia" w:hAnsi="Courier New" w:cs="Courier New"/>
          <w:color w:val="000000" w:themeColor="text1"/>
          <w:kern w:val="24"/>
        </w:rPr>
        <w:tab/>
        <w:t>3’</w:t>
      </w:r>
    </w:p>
    <w:p w14:paraId="4787586F" w14:textId="77777777" w:rsidR="00F33F57" w:rsidRPr="007C0424" w:rsidRDefault="00F33F57" w:rsidP="00F33F57">
      <w:pPr>
        <w:pStyle w:val="NormalWeb"/>
        <w:rPr>
          <w:rFonts w:ascii="Courier New" w:eastAsiaTheme="minorEastAsia" w:hAnsi="Courier New"/>
          <w:b/>
          <w:bCs/>
          <w:kern w:val="24"/>
          <w:lang w:val="en-US"/>
        </w:rPr>
      </w:pPr>
      <w:r w:rsidRPr="00A9039E">
        <w:rPr>
          <w:rFonts w:ascii="Courier New" w:hAnsi="Courier New" w:cs="Courier New"/>
          <w:lang w:val="en-US"/>
        </w:rPr>
        <w:t>ECMaV-RNA1</w:t>
      </w:r>
      <w:r w:rsidRPr="00A9039E">
        <w:rPr>
          <w:lang w:val="en-US"/>
        </w:rPr>
        <w:tab/>
      </w:r>
      <w:r w:rsidRPr="007C0424">
        <w:rPr>
          <w:rFonts w:ascii="Courier New" w:eastAsiaTheme="minorEastAsia" w:hAnsi="Courier New"/>
          <w:b/>
          <w:bCs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AAGACUCUCAAACAUU....UGUGUUUGAGAUCUU</w:t>
      </w:r>
      <w:r w:rsidRPr="007C0424">
        <w:rPr>
          <w:rFonts w:ascii="Courier New" w:eastAsiaTheme="minorEastAsia" w:hAnsi="Courier New"/>
          <w:b/>
          <w:bCs/>
          <w:kern w:val="24"/>
          <w:lang w:val="en-US"/>
        </w:rPr>
        <w:t>UGUGU</w:t>
      </w:r>
    </w:p>
    <w:p w14:paraId="2E587AD5" w14:textId="77777777" w:rsidR="00F33F57" w:rsidRPr="007C0424" w:rsidRDefault="00F33F57" w:rsidP="00F33F57">
      <w:pPr>
        <w:pStyle w:val="NormalWeb"/>
        <w:rPr>
          <w:rFonts w:ascii="Courier New" w:eastAsiaTheme="minorEastAsia" w:hAnsi="Courier New"/>
          <w:kern w:val="24"/>
          <w:lang w:val="en-US"/>
        </w:rPr>
      </w:pPr>
      <w:r w:rsidRPr="007C0424">
        <w:rPr>
          <w:rFonts w:ascii="Courier New" w:hAnsi="Courier New" w:cs="Courier New"/>
          <w:lang w:val="en-US"/>
        </w:rPr>
        <w:t xml:space="preserve">ECMaV-RNA2     </w:t>
      </w:r>
      <w:r w:rsidRPr="007C0424">
        <w:rPr>
          <w:rFonts w:ascii="Courier New" w:hAnsi="Courier New" w:cs="Courier New"/>
          <w:b/>
          <w:bCs/>
          <w:lang w:val="en-US"/>
        </w:rPr>
        <w:t>ACACA</w:t>
      </w:r>
      <w:r w:rsidRPr="007C0424">
        <w:rPr>
          <w:rFonts w:ascii="Courier New" w:hAnsi="Courier New" w:cs="Courier New"/>
          <w:lang w:val="en-US"/>
        </w:rPr>
        <w:t>AAGAUCUCUCAACACU....ACGUUGAGAGAUCUG</w:t>
      </w:r>
      <w:r w:rsidRPr="007C0424">
        <w:rPr>
          <w:rFonts w:ascii="Courier New" w:hAnsi="Courier New" w:cs="Courier New"/>
          <w:b/>
          <w:bCs/>
          <w:lang w:val="en-US"/>
        </w:rPr>
        <w:t>UGUGU</w:t>
      </w:r>
    </w:p>
    <w:p w14:paraId="136D156C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 xml:space="preserve">BCCoV1-RNA1 </w:t>
      </w:r>
      <w:r w:rsidRPr="007C0424">
        <w:rPr>
          <w:rFonts w:ascii="Courier New" w:eastAsiaTheme="minorEastAsia" w:hAnsi="Courier New"/>
          <w:kern w:val="24"/>
          <w:lang w:val="en-US"/>
        </w:rPr>
        <w:tab/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AAGACUCCCCAACUUU....AAGUUUGGGGAUCUU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5ADB941E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BCCoV1-RNA2</w:t>
      </w:r>
      <w:r w:rsidRPr="007C0424">
        <w:rPr>
          <w:rFonts w:ascii="Courier New" w:eastAsiaTheme="minorEastAsia" w:hAnsi="Courier New"/>
          <w:kern w:val="24"/>
          <w:lang w:val="en-US"/>
        </w:rPr>
        <w:tab/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AAGA-UCCCCCUGUUU....AAGCAAGGGGGUCUU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34CE3278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CCGaV-RNA1</w:t>
      </w:r>
      <w:r w:rsidRPr="007C0424">
        <w:rPr>
          <w:rFonts w:ascii="Courier New" w:eastAsiaTheme="minorEastAsia" w:hAnsi="Courier New"/>
          <w:kern w:val="24"/>
          <w:lang w:val="en-US"/>
        </w:rPr>
        <w:tab/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AAGACUCCCAAACUUU....AUAGUUUGGGAUCUG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6572EAD3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CCGaV-RNA2</w:t>
      </w:r>
      <w:r w:rsidRPr="007C0424">
        <w:rPr>
          <w:rFonts w:ascii="Courier New" w:eastAsiaTheme="minorEastAsia" w:hAnsi="Courier New"/>
          <w:kern w:val="24"/>
          <w:lang w:val="en-US"/>
        </w:rPr>
        <w:tab/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AAGA-UCCCAUAACUU....AAGUUAUGGGUUCUA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04A79A91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CiVA-RNA1</w:t>
      </w:r>
      <w:r w:rsidRPr="007C0424">
        <w:rPr>
          <w:rFonts w:ascii="Courier New" w:eastAsiaTheme="minorEastAsia" w:hAnsi="Courier New"/>
          <w:kern w:val="24"/>
          <w:lang w:val="en-US"/>
        </w:rPr>
        <w:tab/>
        <w:t xml:space="preserve">     </w:t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AAGACUCCCAAACUUU....AAAGUUUGGGAUCUG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2CE14E18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CiVA-RNA2</w:t>
      </w:r>
      <w:r w:rsidRPr="007C0424">
        <w:rPr>
          <w:rFonts w:ascii="Courier New" w:eastAsiaTheme="minorEastAsia" w:hAnsi="Courier New"/>
          <w:kern w:val="24"/>
          <w:lang w:val="en-US"/>
        </w:rPr>
        <w:tab/>
        <w:t xml:space="preserve">     </w:t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UAGA-UCCCAUAAUUU....AAGUUAUGGGUUCUA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5A7DC902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WCLaV-1-RNA1</w:t>
      </w:r>
      <w:r w:rsidRPr="007C0424">
        <w:rPr>
          <w:rFonts w:ascii="Courier New" w:eastAsiaTheme="minorEastAsia" w:hAnsi="Courier New"/>
          <w:kern w:val="24"/>
          <w:lang w:val="en-US"/>
        </w:rPr>
        <w:tab/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AAGACUCCCGUACUUC....UUAAUACGGGAUCUA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269526D9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WCLaV-1-RNA2</w:t>
      </w:r>
      <w:r w:rsidRPr="007C0424">
        <w:rPr>
          <w:rFonts w:ascii="Courier New" w:eastAsiaTheme="minorEastAsia" w:hAnsi="Courier New"/>
          <w:kern w:val="24"/>
          <w:lang w:val="en-US"/>
        </w:rPr>
        <w:tab/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UAGA-ACCCAUAAACU....AGUUAAUGGGAUCUU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4300137F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WCLaV-2-RNA1</w:t>
      </w:r>
      <w:r w:rsidRPr="007C0424">
        <w:rPr>
          <w:rFonts w:ascii="Courier New" w:eastAsiaTheme="minorEastAsia" w:hAnsi="Courier New"/>
          <w:kern w:val="24"/>
          <w:lang w:val="en-US"/>
        </w:rPr>
        <w:tab/>
      </w:r>
      <w:r w:rsidRPr="007C0424">
        <w:rPr>
          <w:rFonts w:ascii="Courier New" w:eastAsiaTheme="minorEastAsia" w:hAnsi="Courier New"/>
          <w:b/>
          <w:kern w:val="24"/>
          <w:lang w:val="en-US"/>
        </w:rPr>
        <w:t>ACACA</w:t>
      </w:r>
      <w:r w:rsidRPr="007C0424">
        <w:rPr>
          <w:rFonts w:ascii="Courier New" w:eastAsiaTheme="minorEastAsia" w:hAnsi="Courier New"/>
          <w:kern w:val="24"/>
          <w:lang w:val="en-US"/>
        </w:rPr>
        <w:t>AAGACUCUCAAACACU....UGUGUUUGAGAUCUU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UGUGU</w:t>
      </w:r>
    </w:p>
    <w:p w14:paraId="74F8BF9B" w14:textId="77777777" w:rsidR="00F33F57" w:rsidRPr="007C0424" w:rsidRDefault="00F33F57" w:rsidP="00F33F57">
      <w:pPr>
        <w:jc w:val="both"/>
        <w:rPr>
          <w:rFonts w:ascii="Arial" w:hAnsi="Arial" w:cs="Arial"/>
          <w:b/>
          <w:sz w:val="22"/>
          <w:szCs w:val="22"/>
        </w:rPr>
      </w:pPr>
      <w:r w:rsidRPr="007C0424">
        <w:rPr>
          <w:rFonts w:ascii="Courier New" w:eastAsiaTheme="minorEastAsia" w:hAnsi="Courier New"/>
          <w:kern w:val="24"/>
        </w:rPr>
        <w:t xml:space="preserve">WCLaV-2-RNA2   </w:t>
      </w:r>
      <w:r w:rsidRPr="007C0424">
        <w:rPr>
          <w:rFonts w:ascii="Courier New" w:eastAsiaTheme="minorEastAsia" w:hAnsi="Courier New"/>
          <w:b/>
          <w:kern w:val="24"/>
        </w:rPr>
        <w:t>ACACA</w:t>
      </w:r>
      <w:r w:rsidRPr="007C0424">
        <w:rPr>
          <w:rFonts w:ascii="Courier New" w:eastAsiaTheme="minorEastAsia" w:hAnsi="Courier New"/>
          <w:kern w:val="24"/>
        </w:rPr>
        <w:t>AAGAUCUCUCAACACA....AGUUGAAGAGAUCUG</w:t>
      </w:r>
      <w:r w:rsidRPr="007C0424">
        <w:rPr>
          <w:rFonts w:ascii="Courier New" w:eastAsiaTheme="minorEastAsia" w:hAnsi="Courier New"/>
          <w:b/>
          <w:kern w:val="24"/>
        </w:rPr>
        <w:t>UGUGU</w:t>
      </w:r>
    </w:p>
    <w:p w14:paraId="05DBA0A9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YPNSV-RNA1</w:t>
      </w:r>
      <w:r w:rsidRPr="007C0424">
        <w:rPr>
          <w:rFonts w:ascii="Courier New" w:eastAsiaTheme="minorEastAsia" w:hAnsi="Courier New"/>
          <w:kern w:val="24"/>
          <w:lang w:val="en-US"/>
        </w:rPr>
        <w:tab/>
        <w:t xml:space="preserve">         CUCAAACACU--....UUUU-UUCAGUAAAC-</w:t>
      </w:r>
      <w:r w:rsidRPr="007C0424">
        <w:rPr>
          <w:rFonts w:ascii="Courier New" w:eastAsiaTheme="minorEastAsia" w:hAnsi="Courier New"/>
          <w:b/>
          <w:bCs/>
          <w:kern w:val="24"/>
          <w:lang w:val="en-US"/>
        </w:rPr>
        <w:t>GUG</w:t>
      </w:r>
      <w:r w:rsidRPr="007C0424">
        <w:rPr>
          <w:rFonts w:ascii="Courier New" w:eastAsiaTheme="minorEastAsia" w:hAnsi="Courier New"/>
          <w:kern w:val="24"/>
          <w:lang w:val="en-US"/>
        </w:rPr>
        <w:t>GU</w:t>
      </w:r>
    </w:p>
    <w:p w14:paraId="55AF36E7" w14:textId="77777777" w:rsidR="00F33F57" w:rsidRPr="007C0424" w:rsidRDefault="00F33F57" w:rsidP="00F33F57">
      <w:pPr>
        <w:pStyle w:val="NormalWeb"/>
        <w:rPr>
          <w:lang w:val="en-US"/>
        </w:rPr>
      </w:pPr>
      <w:r w:rsidRPr="007C0424">
        <w:rPr>
          <w:rFonts w:ascii="Courier New" w:eastAsiaTheme="minorEastAsia" w:hAnsi="Courier New"/>
          <w:kern w:val="24"/>
          <w:lang w:val="en-US"/>
        </w:rPr>
        <w:t>YPNSV-RNA2</w:t>
      </w:r>
      <w:r w:rsidRPr="007C0424">
        <w:rPr>
          <w:rFonts w:ascii="Courier New" w:eastAsiaTheme="minorEastAsia" w:hAnsi="Courier New"/>
          <w:kern w:val="24"/>
          <w:lang w:val="en-US"/>
        </w:rPr>
        <w:tab/>
        <w:t xml:space="preserve">         CUCAA-CACUUU....AAUAGUUGAGAGAUC</w:t>
      </w:r>
      <w:r w:rsidRPr="007C0424">
        <w:rPr>
          <w:rFonts w:ascii="Courier New" w:eastAsiaTheme="minorEastAsia" w:hAnsi="Courier New"/>
          <w:b/>
          <w:kern w:val="24"/>
          <w:lang w:val="en-US"/>
        </w:rPr>
        <w:t>UGUG</w:t>
      </w:r>
      <w:r w:rsidRPr="007C0424">
        <w:rPr>
          <w:rFonts w:ascii="Courier New" w:eastAsiaTheme="minorEastAsia" w:hAnsi="Courier New"/>
          <w:kern w:val="24"/>
          <w:lang w:val="en-US"/>
        </w:rPr>
        <w:t>-</w:t>
      </w:r>
    </w:p>
    <w:p w14:paraId="3DDA2F02" w14:textId="77777777" w:rsidR="00F33F57" w:rsidRDefault="00F33F57" w:rsidP="00F33F57"/>
    <w:p w14:paraId="764A3990" w14:textId="3990AAF8" w:rsidR="00F33F57" w:rsidRPr="006E2578" w:rsidRDefault="00F33F57" w:rsidP="00572B93">
      <w:pPr>
        <w:jc w:val="both"/>
      </w:pPr>
      <w:r>
        <w:rPr>
          <w:rFonts w:ascii="Calibri" w:hAnsi="Calibri" w:cs="Calibri"/>
          <w:b/>
          <w:sz w:val="22"/>
          <w:szCs w:val="22"/>
        </w:rPr>
        <w:t>Figure 1</w:t>
      </w:r>
      <w:r>
        <w:rPr>
          <w:rFonts w:ascii="Arial" w:hAnsi="Arial" w:cs="Arial"/>
          <w:b/>
          <w:sz w:val="22"/>
          <w:szCs w:val="22"/>
        </w:rPr>
        <w:t>.</w:t>
      </w:r>
      <w:r w:rsidRPr="006E2578">
        <w:rPr>
          <w:rFonts w:ascii="Arial" w:hAnsi="Arial" w:cs="Arial"/>
          <w:b/>
          <w:sz w:val="22"/>
          <w:szCs w:val="22"/>
        </w:rPr>
        <w:t xml:space="preserve"> </w:t>
      </w:r>
      <w:r w:rsidR="00572B93" w:rsidRPr="00572B93">
        <w:rPr>
          <w:rFonts w:ascii="Calibri" w:hAnsi="Calibri"/>
          <w:bCs/>
          <w:sz w:val="22"/>
          <w:szCs w:val="22"/>
        </w:rPr>
        <w:t xml:space="preserve">Multiple </w:t>
      </w:r>
      <w:r w:rsidR="00572B93">
        <w:rPr>
          <w:rFonts w:ascii="Calibri" w:hAnsi="Calibri"/>
          <w:bCs/>
          <w:sz w:val="22"/>
          <w:szCs w:val="22"/>
        </w:rPr>
        <w:t>a</w:t>
      </w:r>
      <w:r w:rsidRPr="006E2578">
        <w:rPr>
          <w:rFonts w:ascii="Calibri" w:hAnsi="Calibri"/>
          <w:bCs/>
          <w:sz w:val="22"/>
          <w:szCs w:val="22"/>
        </w:rPr>
        <w:t xml:space="preserve">lignment of 5′ (left) and 3′ (right) termini of </w:t>
      </w:r>
      <w:r>
        <w:rPr>
          <w:rFonts w:ascii="Calibri" w:hAnsi="Calibri"/>
          <w:bCs/>
          <w:sz w:val="22"/>
          <w:szCs w:val="22"/>
        </w:rPr>
        <w:t xml:space="preserve">the </w:t>
      </w:r>
      <w:r w:rsidRPr="006E2578">
        <w:rPr>
          <w:rFonts w:ascii="Calibri" w:hAnsi="Calibri"/>
          <w:bCs/>
          <w:sz w:val="22"/>
          <w:szCs w:val="22"/>
        </w:rPr>
        <w:t xml:space="preserve">genomic RNAs </w:t>
      </w:r>
      <w:r w:rsidR="0065470F">
        <w:rPr>
          <w:rFonts w:ascii="Calibri" w:hAnsi="Calibri"/>
          <w:bCs/>
          <w:sz w:val="22"/>
          <w:szCs w:val="22"/>
        </w:rPr>
        <w:t xml:space="preserve">of </w:t>
      </w:r>
      <w:proofErr w:type="spellStart"/>
      <w:r w:rsidR="00572B93">
        <w:rPr>
          <w:rFonts w:asciiTheme="minorHAnsi" w:hAnsiTheme="minorHAnsi" w:cstheme="minorHAnsi"/>
          <w:sz w:val="22"/>
          <w:szCs w:val="22"/>
        </w:rPr>
        <w:t>ECMaV</w:t>
      </w:r>
      <w:proofErr w:type="spellEnd"/>
      <w:r w:rsidR="00572B93">
        <w:rPr>
          <w:rFonts w:asciiTheme="minorHAnsi" w:hAnsiTheme="minorHAnsi" w:cstheme="minorHAnsi"/>
          <w:sz w:val="22"/>
          <w:szCs w:val="22"/>
        </w:rPr>
        <w:t xml:space="preserve"> and th</w:t>
      </w:r>
      <w:r w:rsidR="0065470F">
        <w:rPr>
          <w:rFonts w:asciiTheme="minorHAnsi" w:hAnsiTheme="minorHAnsi" w:cstheme="minorHAnsi"/>
          <w:sz w:val="22"/>
          <w:szCs w:val="22"/>
        </w:rPr>
        <w:t>ose of</w:t>
      </w:r>
      <w:r w:rsidR="00572B93">
        <w:rPr>
          <w:rFonts w:asciiTheme="minorHAnsi" w:hAnsiTheme="minorHAnsi" w:cstheme="minorHAnsi"/>
          <w:sz w:val="22"/>
          <w:szCs w:val="22"/>
        </w:rPr>
        <w:t xml:space="preserve"> </w:t>
      </w:r>
      <w:r w:rsidRPr="006E2578">
        <w:rPr>
          <w:rFonts w:ascii="Calibri" w:hAnsi="Calibri"/>
          <w:bCs/>
          <w:sz w:val="22"/>
          <w:szCs w:val="22"/>
        </w:rPr>
        <w:t xml:space="preserve">members of the genus </w:t>
      </w:r>
      <w:proofErr w:type="spellStart"/>
      <w:r w:rsidRPr="0009370C">
        <w:rPr>
          <w:rFonts w:ascii="Calibri" w:hAnsi="Calibri"/>
          <w:bCs/>
          <w:i/>
          <w:sz w:val="22"/>
          <w:szCs w:val="22"/>
        </w:rPr>
        <w:t>Coguvirus</w:t>
      </w:r>
      <w:proofErr w:type="spellEnd"/>
      <w:r w:rsidRPr="006E2578">
        <w:rPr>
          <w:rFonts w:ascii="Calibri" w:hAnsi="Calibri"/>
          <w:bCs/>
          <w:sz w:val="22"/>
          <w:szCs w:val="22"/>
        </w:rPr>
        <w:t xml:space="preserve">. </w:t>
      </w:r>
      <w:r>
        <w:rPr>
          <w:rFonts w:ascii="Calibri" w:hAnsi="Calibri"/>
          <w:bCs/>
          <w:sz w:val="22"/>
          <w:szCs w:val="22"/>
        </w:rPr>
        <w:t xml:space="preserve">The conserved nucleotides in all members of the family </w:t>
      </w:r>
      <w:proofErr w:type="spellStart"/>
      <w:r w:rsidRPr="006E2578">
        <w:rPr>
          <w:rFonts w:ascii="Calibri" w:hAnsi="Calibri"/>
          <w:bCs/>
          <w:i/>
          <w:sz w:val="22"/>
          <w:szCs w:val="22"/>
        </w:rPr>
        <w:t>Phenuiviridae</w:t>
      </w:r>
      <w:proofErr w:type="spellEnd"/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are shown in bold.</w:t>
      </w:r>
      <w:r w:rsidR="00D44E5E">
        <w:rPr>
          <w:rFonts w:ascii="Calibri" w:hAnsi="Calibri" w:cs="Calibri"/>
          <w:bCs/>
          <w:sz w:val="22"/>
          <w:szCs w:val="22"/>
        </w:rPr>
        <w:t xml:space="preserve"> The terminal sequences of YPNSV reported</w:t>
      </w:r>
      <w:r w:rsidR="00572B93">
        <w:rPr>
          <w:rFonts w:ascii="Calibri" w:hAnsi="Calibri" w:cs="Calibri"/>
          <w:bCs/>
          <w:sz w:val="22"/>
          <w:szCs w:val="22"/>
        </w:rPr>
        <w:t xml:space="preserve"> </w:t>
      </w:r>
      <w:r w:rsidR="00D44E5E">
        <w:rPr>
          <w:rFonts w:ascii="Calibri" w:hAnsi="Calibri" w:cs="Calibri"/>
          <w:bCs/>
          <w:sz w:val="22"/>
          <w:szCs w:val="22"/>
        </w:rPr>
        <w:t>in NCBI are likely incomplete.</w:t>
      </w:r>
    </w:p>
    <w:p w14:paraId="188F415A" w14:textId="77777777" w:rsidR="00F33F57" w:rsidRPr="006E2578" w:rsidRDefault="00F33F57" w:rsidP="00F33F57">
      <w:pPr>
        <w:rPr>
          <w:rFonts w:ascii="Arial" w:hAnsi="Arial" w:cs="Arial"/>
          <w:b/>
          <w:sz w:val="22"/>
          <w:szCs w:val="22"/>
        </w:rPr>
      </w:pPr>
    </w:p>
    <w:p w14:paraId="4ACACCDF" w14:textId="77777777" w:rsidR="00F33F57" w:rsidRDefault="00F33F57" w:rsidP="00F33F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BDDD0EC" w14:textId="77777777" w:rsidR="00F33F57" w:rsidRDefault="00F33F57" w:rsidP="00F33F57">
      <w:pPr>
        <w:rPr>
          <w:rFonts w:ascii="Arial" w:hAnsi="Arial" w:cs="Arial"/>
          <w:b/>
          <w:sz w:val="22"/>
          <w:szCs w:val="22"/>
        </w:rPr>
      </w:pPr>
    </w:p>
    <w:p w14:paraId="33E4D1DC" w14:textId="77777777" w:rsidR="00F33F57" w:rsidRDefault="00F33F57" w:rsidP="00F33F57">
      <w:pPr>
        <w:rPr>
          <w:rFonts w:ascii="Arial" w:hAnsi="Arial" w:cs="Arial"/>
          <w:b/>
          <w:sz w:val="22"/>
          <w:szCs w:val="22"/>
        </w:rPr>
      </w:pPr>
    </w:p>
    <w:p w14:paraId="6C53B970" w14:textId="77777777" w:rsidR="00F33F57" w:rsidRPr="001C22C0" w:rsidRDefault="00F33F57" w:rsidP="00F33F57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109D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</w:t>
      </w:r>
      <w:r w:rsidRPr="001C22C0">
        <w:rPr>
          <w:rFonts w:asciiTheme="minorHAnsi" w:hAnsiTheme="minorHAnsi" w:cstheme="minorHAnsi"/>
          <w:lang w:val="it-IT"/>
        </w:rPr>
        <w:t>ECMaV-RNA1</w:t>
      </w:r>
      <w:r w:rsidRPr="001C22C0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            5’</w:t>
      </w:r>
    </w:p>
    <w:p w14:paraId="62FDF9B1" w14:textId="77777777" w:rsidR="00F33F57" w:rsidRPr="001C22C0" w:rsidRDefault="00F33F57" w:rsidP="00F33F57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37A6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5BF6788F" wp14:editId="197BE017">
            <wp:extent cx="2111375" cy="474784"/>
            <wp:effectExtent l="0" t="0" r="3175" b="190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 rotWithShape="1">
                    <a:blip r:embed="rId11"/>
                    <a:srcRect l="4443" t="15824" r="6632" b="12885"/>
                    <a:stretch/>
                  </pic:blipFill>
                  <pic:spPr bwMode="auto">
                    <a:xfrm>
                      <a:off x="0" y="0"/>
                      <a:ext cx="2115842" cy="475788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22C0">
        <w:rPr>
          <w:rFonts w:asciiTheme="minorHAnsi" w:hAnsiTheme="minorHAnsi" w:cstheme="minorHAnsi"/>
          <w:noProof/>
          <w:lang w:val="it-IT"/>
        </w:rPr>
        <w:t xml:space="preserve"> </w:t>
      </w:r>
      <w:r w:rsidRPr="00C37A6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4050998A" wp14:editId="6F1F0C09">
            <wp:extent cx="480102" cy="472481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102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ECD1" w14:textId="77777777" w:rsidR="00F33F57" w:rsidRPr="001C22C0" w:rsidRDefault="00F33F57" w:rsidP="00F33F57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C22C0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                                        3’</w:t>
      </w:r>
    </w:p>
    <w:p w14:paraId="5569EEE2" w14:textId="77777777" w:rsidR="00F33F57" w:rsidRPr="001C22C0" w:rsidRDefault="00F33F57" w:rsidP="00F33F57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5BFE2F96" w14:textId="77777777" w:rsidR="00F33F57" w:rsidRPr="001C22C0" w:rsidRDefault="00F33F57" w:rsidP="00F33F57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C22C0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</w:t>
      </w:r>
      <w:r w:rsidRPr="001C22C0">
        <w:rPr>
          <w:rFonts w:asciiTheme="minorHAnsi" w:hAnsiTheme="minorHAnsi" w:cstheme="minorHAnsi"/>
          <w:lang w:val="it-IT"/>
        </w:rPr>
        <w:t>ECMaV-RNA2</w:t>
      </w:r>
      <w:r w:rsidRPr="001C22C0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            5’</w:t>
      </w:r>
    </w:p>
    <w:p w14:paraId="41748561" w14:textId="77777777" w:rsidR="00F33F57" w:rsidRPr="000109DA" w:rsidRDefault="00F33F57" w:rsidP="00F33F57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C22C0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</w:t>
      </w:r>
      <w:r w:rsidRPr="00C37A6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151DAB5C" wp14:editId="2E43A617">
            <wp:extent cx="2270760" cy="438446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6471" cy="44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DA">
        <w:rPr>
          <w:rFonts w:asciiTheme="minorHAnsi" w:hAnsiTheme="minorHAnsi" w:cstheme="minorHAnsi"/>
          <w:noProof/>
          <w:lang w:val="en-GB"/>
        </w:rPr>
        <w:t xml:space="preserve"> </w:t>
      </w:r>
      <w:r w:rsidRPr="00C37A6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44786A3" wp14:editId="77050396">
            <wp:extent cx="480060" cy="413825"/>
            <wp:effectExtent l="0" t="0" r="0" b="571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1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DA5B1" w14:textId="77777777" w:rsidR="00F33F57" w:rsidRPr="000109DA" w:rsidRDefault="00F33F57" w:rsidP="00F33F57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0109D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                                   3’</w:t>
      </w:r>
    </w:p>
    <w:p w14:paraId="283A4DC5" w14:textId="77777777" w:rsidR="00F33F57" w:rsidRPr="000109DA" w:rsidRDefault="00F33F57" w:rsidP="00F33F57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5FC64991" w14:textId="77777777" w:rsidR="00F33F57" w:rsidRPr="00A061D4" w:rsidRDefault="00F33F57" w:rsidP="00F33F5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0109D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</w:t>
      </w:r>
      <w:r w:rsidRPr="00C37A61">
        <w:rPr>
          <w:rFonts w:asciiTheme="minorHAnsi" w:hAnsiTheme="minorHAnsi" w:cstheme="minorHAnsi"/>
          <w:b/>
          <w:sz w:val="22"/>
          <w:szCs w:val="22"/>
        </w:rPr>
        <w:t>Figure 2.</w:t>
      </w:r>
      <w:r w:rsidRPr="00C37A6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C37A61">
        <w:rPr>
          <w:rFonts w:asciiTheme="minorHAnsi" w:hAnsiTheme="minorHAnsi" w:cstheme="minorHAnsi"/>
          <w:bCs/>
          <w:sz w:val="22"/>
          <w:szCs w:val="22"/>
        </w:rPr>
        <w:t xml:space="preserve">Panhandle structures formed by the 5′ and 3′ termini of </w:t>
      </w:r>
      <w:proofErr w:type="spellStart"/>
      <w:r w:rsidRPr="00C37A61">
        <w:rPr>
          <w:rFonts w:asciiTheme="minorHAnsi" w:hAnsiTheme="minorHAnsi" w:cstheme="minorHAnsi"/>
          <w:sz w:val="22"/>
          <w:szCs w:val="22"/>
        </w:rPr>
        <w:t>ECMaV</w:t>
      </w:r>
      <w:proofErr w:type="spellEnd"/>
      <w:r w:rsidRPr="00C37A61">
        <w:rPr>
          <w:rFonts w:asciiTheme="minorHAnsi" w:hAnsiTheme="minorHAnsi" w:cstheme="minorHAnsi"/>
          <w:bCs/>
          <w:sz w:val="22"/>
          <w:szCs w:val="22"/>
        </w:rPr>
        <w:t xml:space="preserve"> RNA1 and RNA2.</w:t>
      </w:r>
    </w:p>
    <w:p w14:paraId="5501390F" w14:textId="77777777" w:rsidR="00F33F57" w:rsidRPr="00C37A61" w:rsidRDefault="00F33F57" w:rsidP="00F33F57">
      <w:pPr>
        <w:rPr>
          <w:rFonts w:asciiTheme="minorHAnsi" w:hAnsiTheme="minorHAnsi" w:cstheme="minorHAnsi"/>
          <w:b/>
          <w:sz w:val="22"/>
          <w:szCs w:val="22"/>
        </w:rPr>
      </w:pPr>
    </w:p>
    <w:p w14:paraId="2AF6D82E" w14:textId="77777777" w:rsidR="00F33F57" w:rsidRPr="00C37A61" w:rsidRDefault="00F33F57" w:rsidP="00F33F57">
      <w:pPr>
        <w:rPr>
          <w:rFonts w:asciiTheme="minorHAnsi" w:hAnsiTheme="minorHAnsi" w:cstheme="minorHAnsi"/>
          <w:b/>
          <w:sz w:val="22"/>
          <w:szCs w:val="22"/>
        </w:rPr>
      </w:pPr>
    </w:p>
    <w:p w14:paraId="5AD02D7B" w14:textId="77777777" w:rsidR="00F33F57" w:rsidRPr="0090004F" w:rsidRDefault="00F33F57" w:rsidP="00F33F57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166792BF" wp14:editId="1E75699A">
            <wp:extent cx="5731510" cy="2713355"/>
            <wp:effectExtent l="0" t="0" r="2540" b="0"/>
            <wp:docPr id="1359480274" name="Immagine 1359480274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av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DC08A" w14:textId="77777777" w:rsidR="00F33F57" w:rsidRPr="00F7767A" w:rsidRDefault="00F33F57" w:rsidP="00F33F57">
      <w:pPr>
        <w:rPr>
          <w:rFonts w:ascii="Calibri" w:hAnsi="Calibri"/>
          <w:bCs/>
          <w:sz w:val="22"/>
          <w:szCs w:val="22"/>
        </w:rPr>
      </w:pPr>
      <w:r w:rsidRPr="00F7767A">
        <w:rPr>
          <w:rFonts w:ascii="Calibri" w:hAnsi="Calibri"/>
          <w:b/>
          <w:sz w:val="22"/>
          <w:szCs w:val="22"/>
        </w:rPr>
        <w:t>Fig</w:t>
      </w:r>
      <w:r>
        <w:rPr>
          <w:rFonts w:ascii="Calibri" w:hAnsi="Calibri"/>
          <w:b/>
          <w:sz w:val="22"/>
          <w:szCs w:val="22"/>
        </w:rPr>
        <w:t xml:space="preserve">ure 3. </w:t>
      </w:r>
      <w:r w:rsidRPr="00F7767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Theme="minorHAnsi" w:eastAsia="STIX-Italic" w:hAnsiTheme="minorHAnsi" w:cstheme="minorHAnsi"/>
          <w:color w:val="000000"/>
          <w:sz w:val="22"/>
          <w:szCs w:val="22"/>
        </w:rPr>
        <w:t>C</w:t>
      </w:r>
      <w:r w:rsidRPr="00471EE5">
        <w:rPr>
          <w:rFonts w:asciiTheme="minorHAnsi" w:eastAsia="STIX-Italic" w:hAnsiTheme="minorHAnsi" w:cstheme="minorHAnsi"/>
          <w:color w:val="000000"/>
          <w:sz w:val="22"/>
          <w:szCs w:val="22"/>
        </w:rPr>
        <w:t xml:space="preserve">onserved </w:t>
      </w:r>
      <w:r>
        <w:rPr>
          <w:rFonts w:asciiTheme="minorHAnsi" w:eastAsia="STIX-Italic" w:hAnsiTheme="minorHAnsi" w:cstheme="minorHAnsi"/>
          <w:color w:val="000000"/>
          <w:sz w:val="22"/>
          <w:szCs w:val="22"/>
        </w:rPr>
        <w:t xml:space="preserve">motifs </w:t>
      </w:r>
      <w:r w:rsidRPr="00471EE5">
        <w:rPr>
          <w:rFonts w:asciiTheme="minorHAnsi" w:eastAsia="STIX-Italic" w:hAnsiTheme="minorHAnsi" w:cstheme="minorHAnsi"/>
          <w:color w:val="000000"/>
          <w:sz w:val="22"/>
          <w:szCs w:val="22"/>
        </w:rPr>
        <w:t xml:space="preserve">in the </w:t>
      </w:r>
      <w:proofErr w:type="spellStart"/>
      <w:r w:rsidRPr="00471EE5">
        <w:rPr>
          <w:rFonts w:asciiTheme="minorHAnsi" w:eastAsia="STIX-Italic" w:hAnsiTheme="minorHAnsi" w:cstheme="minorHAnsi"/>
          <w:color w:val="000000"/>
          <w:sz w:val="22"/>
          <w:szCs w:val="22"/>
        </w:rPr>
        <w:t>RdRps</w:t>
      </w:r>
      <w:proofErr w:type="spellEnd"/>
      <w:r>
        <w:rPr>
          <w:rFonts w:asciiTheme="minorHAnsi" w:eastAsia="STIX-Italic" w:hAnsiTheme="minorHAnsi" w:cstheme="minorHAnsi"/>
          <w:color w:val="000000"/>
          <w:sz w:val="22"/>
          <w:szCs w:val="22"/>
        </w:rPr>
        <w:t xml:space="preserve"> typical </w:t>
      </w:r>
      <w:r w:rsidRPr="00471EE5">
        <w:rPr>
          <w:rFonts w:asciiTheme="minorHAnsi" w:eastAsia="STIX-Italic" w:hAnsiTheme="minorHAnsi" w:cstheme="minorHAnsi"/>
          <w:color w:val="000000"/>
          <w:sz w:val="22"/>
          <w:szCs w:val="22"/>
        </w:rPr>
        <w:t xml:space="preserve">of members of the order </w:t>
      </w:r>
      <w:proofErr w:type="spellStart"/>
      <w:r w:rsidRPr="00471EE5">
        <w:rPr>
          <w:rFonts w:asciiTheme="minorHAnsi" w:eastAsia="STIX-Italic" w:hAnsiTheme="minorHAnsi" w:cstheme="minorHAnsi"/>
          <w:i/>
          <w:iCs/>
          <w:color w:val="000000"/>
          <w:sz w:val="22"/>
          <w:szCs w:val="22"/>
        </w:rPr>
        <w:t>Bunyavirales</w:t>
      </w:r>
      <w:proofErr w:type="spellEnd"/>
    </w:p>
    <w:p w14:paraId="30806DD0" w14:textId="77777777" w:rsidR="00F33F57" w:rsidRPr="0090004F" w:rsidRDefault="00F33F57" w:rsidP="00F33F57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A018BD2" w14:textId="77777777" w:rsidR="00F33F57" w:rsidRPr="0090004F" w:rsidRDefault="00F33F57" w:rsidP="00F33F57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385DC72A" w14:textId="77777777" w:rsidR="00F33F57" w:rsidRPr="0090004F" w:rsidRDefault="00F33F57" w:rsidP="00F33F57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0AE61DD" w14:textId="77777777" w:rsidR="00F33F57" w:rsidRPr="0090004F" w:rsidRDefault="00F33F57" w:rsidP="00F33F57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3CED1954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14:paraId="6EF16E46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  <w:r w:rsidRPr="00BB3F10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196105F9" wp14:editId="3A2EF0CF">
            <wp:extent cx="5731510" cy="1111250"/>
            <wp:effectExtent l="0" t="0" r="2540" b="0"/>
            <wp:docPr id="3" name="Immagine 3" descr="Immagine che contiene test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tavolo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07907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</w:t>
      </w:r>
    </w:p>
    <w:p w14:paraId="5BCFD649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  <w:r w:rsidRPr="00BB3F10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5D8F663" wp14:editId="5F710EDA">
            <wp:extent cx="5731510" cy="1165860"/>
            <wp:effectExtent l="0" t="0" r="2540" b="0"/>
            <wp:docPr id="8" name="Immagine 8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avolo&#10;&#10;Descrizione generat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9911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2E690641" w14:textId="3D45FBEE" w:rsidR="00F33F57" w:rsidRPr="00097CBF" w:rsidRDefault="00F33F57" w:rsidP="00F33F57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Figure 4.</w:t>
      </w:r>
      <w:r w:rsidRPr="00097CBF">
        <w:rPr>
          <w:rFonts w:ascii="Arial" w:hAnsi="Arial" w:cs="Arial"/>
          <w:color w:val="1C1D1E"/>
          <w:shd w:val="clear" w:color="auto" w:fill="FFFFFF"/>
        </w:rPr>
        <w:t xml:space="preserve"> </w:t>
      </w:r>
      <w:r w:rsidR="00D560D3">
        <w:rPr>
          <w:rFonts w:ascii="Calibri" w:hAnsi="Calibri"/>
          <w:bCs/>
          <w:sz w:val="22"/>
          <w:szCs w:val="22"/>
        </w:rPr>
        <w:t>A</w:t>
      </w:r>
      <w:r w:rsidRPr="00097CBF">
        <w:rPr>
          <w:rFonts w:ascii="Calibri" w:hAnsi="Calibri"/>
          <w:bCs/>
          <w:sz w:val="22"/>
          <w:szCs w:val="22"/>
        </w:rPr>
        <w:t xml:space="preserve">mino acid identity </w:t>
      </w:r>
      <w:r w:rsidR="002B646C">
        <w:rPr>
          <w:rFonts w:ascii="Calibri" w:hAnsi="Calibri"/>
          <w:bCs/>
          <w:sz w:val="22"/>
          <w:szCs w:val="22"/>
        </w:rPr>
        <w:t xml:space="preserve">(%) </w:t>
      </w:r>
      <w:r w:rsidRPr="00097CBF">
        <w:rPr>
          <w:rFonts w:ascii="Calibri" w:hAnsi="Calibri"/>
          <w:bCs/>
          <w:sz w:val="22"/>
          <w:szCs w:val="22"/>
        </w:rPr>
        <w:t xml:space="preserve">matrix of </w:t>
      </w:r>
      <w:proofErr w:type="spellStart"/>
      <w:r w:rsidRPr="00097CBF">
        <w:rPr>
          <w:rFonts w:ascii="Calibri" w:hAnsi="Calibri"/>
          <w:bCs/>
          <w:sz w:val="22"/>
          <w:szCs w:val="22"/>
        </w:rPr>
        <w:t>RdRp</w:t>
      </w:r>
      <w:proofErr w:type="spellEnd"/>
      <w:r w:rsidRPr="00097CBF">
        <w:rPr>
          <w:rFonts w:ascii="Calibri" w:hAnsi="Calibri"/>
          <w:bCs/>
          <w:sz w:val="22"/>
          <w:szCs w:val="22"/>
        </w:rPr>
        <w:t xml:space="preserve"> (panel A) and NP (panel B) proteins of </w:t>
      </w:r>
      <w:proofErr w:type="spellStart"/>
      <w:r w:rsidRPr="00471EE5">
        <w:rPr>
          <w:rFonts w:asciiTheme="minorHAnsi" w:hAnsiTheme="minorHAnsi" w:cstheme="minorHAnsi"/>
          <w:sz w:val="22"/>
          <w:szCs w:val="22"/>
          <w:lang w:val="en-GB"/>
        </w:rPr>
        <w:t>ECMaV</w:t>
      </w:r>
      <w:proofErr w:type="spellEnd"/>
      <w:r w:rsidRPr="00097CBF">
        <w:rPr>
          <w:rFonts w:ascii="Calibri" w:hAnsi="Calibri"/>
          <w:bCs/>
          <w:sz w:val="22"/>
          <w:szCs w:val="22"/>
        </w:rPr>
        <w:t xml:space="preserve"> and all the current and proposed members of the genus </w:t>
      </w:r>
      <w:proofErr w:type="spellStart"/>
      <w:r w:rsidRPr="00F214F0">
        <w:rPr>
          <w:rFonts w:ascii="Calibri" w:hAnsi="Calibri"/>
          <w:bCs/>
          <w:i/>
          <w:sz w:val="22"/>
          <w:szCs w:val="22"/>
        </w:rPr>
        <w:t>Coguviru</w:t>
      </w:r>
      <w:r w:rsidRPr="00097CBF">
        <w:rPr>
          <w:rFonts w:ascii="Calibri" w:hAnsi="Calibri"/>
          <w:bCs/>
          <w:sz w:val="22"/>
          <w:szCs w:val="22"/>
        </w:rPr>
        <w:t>s</w:t>
      </w:r>
      <w:proofErr w:type="spellEnd"/>
      <w:r w:rsidR="002B646C">
        <w:rPr>
          <w:rFonts w:ascii="Calibri" w:hAnsi="Calibri"/>
          <w:bCs/>
          <w:sz w:val="22"/>
          <w:szCs w:val="22"/>
        </w:rPr>
        <w:t>.</w:t>
      </w:r>
    </w:p>
    <w:p w14:paraId="0E21C6BB" w14:textId="77777777" w:rsidR="00F33F57" w:rsidRDefault="00F33F57" w:rsidP="00F33F57">
      <w:pPr>
        <w:rPr>
          <w:rFonts w:ascii="Calibri" w:hAnsi="Calibri"/>
          <w:bCs/>
          <w:sz w:val="22"/>
          <w:szCs w:val="22"/>
        </w:rPr>
      </w:pPr>
    </w:p>
    <w:p w14:paraId="40D1A29D" w14:textId="77777777" w:rsidR="00F33F57" w:rsidRDefault="00F33F57" w:rsidP="00F33F57">
      <w:pPr>
        <w:rPr>
          <w:rFonts w:ascii="Calibri" w:hAnsi="Calibri"/>
          <w:bCs/>
          <w:sz w:val="22"/>
          <w:szCs w:val="22"/>
        </w:rPr>
      </w:pPr>
    </w:p>
    <w:p w14:paraId="45584118" w14:textId="77777777" w:rsidR="00F33F57" w:rsidRPr="00097CBF" w:rsidRDefault="00F33F57" w:rsidP="00F33F57">
      <w:pPr>
        <w:rPr>
          <w:rFonts w:ascii="Calibri" w:hAnsi="Calibri"/>
          <w:bCs/>
          <w:sz w:val="22"/>
          <w:szCs w:val="22"/>
        </w:rPr>
      </w:pPr>
    </w:p>
    <w:p w14:paraId="65C60A50" w14:textId="77777777" w:rsidR="00F33F57" w:rsidRPr="000927E0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79867BAC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374362CE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2F325347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38B1877C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0DA77ED6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6DB98299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00D423E4" w14:textId="77777777" w:rsidR="00F33F57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12D83557" w14:textId="77777777" w:rsidR="00F33F57" w:rsidRPr="000927E0" w:rsidRDefault="00F33F57" w:rsidP="00F33F57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F53A7B3" wp14:editId="17554417">
            <wp:extent cx="4746245" cy="7627620"/>
            <wp:effectExtent l="0" t="0" r="0" b="0"/>
            <wp:docPr id="11" name="Immagine 11" descr="Immagine che contiene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Immagine che contiene diagramm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39" b="6011"/>
                    <a:stretch/>
                  </pic:blipFill>
                  <pic:spPr bwMode="auto">
                    <a:xfrm>
                      <a:off x="0" y="0"/>
                      <a:ext cx="4753898" cy="76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30607" w14:textId="77777777" w:rsidR="00F33F57" w:rsidRDefault="00F33F57" w:rsidP="00F33F57">
      <w:pPr>
        <w:jc w:val="both"/>
        <w:rPr>
          <w:rFonts w:ascii="Calibri" w:hAnsi="Calibri" w:cs="Calibri"/>
          <w:b/>
          <w:sz w:val="22"/>
          <w:szCs w:val="22"/>
        </w:rPr>
      </w:pPr>
    </w:p>
    <w:p w14:paraId="391664C6" w14:textId="3028C6C4" w:rsidR="00F33F57" w:rsidRPr="000927E0" w:rsidRDefault="00F33F57" w:rsidP="00F33F57">
      <w:pPr>
        <w:jc w:val="both"/>
        <w:rPr>
          <w:rFonts w:ascii="Calibri" w:hAnsi="Calibri" w:cs="Calibri"/>
          <w:bCs/>
          <w:sz w:val="22"/>
          <w:szCs w:val="22"/>
        </w:rPr>
      </w:pPr>
      <w:r w:rsidRPr="000927E0">
        <w:rPr>
          <w:rFonts w:ascii="Calibri" w:hAnsi="Calibri" w:cs="Calibri"/>
          <w:b/>
          <w:sz w:val="22"/>
          <w:szCs w:val="22"/>
        </w:rPr>
        <w:t>F</w:t>
      </w:r>
      <w:r>
        <w:rPr>
          <w:rFonts w:ascii="Calibri" w:hAnsi="Calibri" w:cs="Calibri"/>
          <w:b/>
          <w:sz w:val="22"/>
          <w:szCs w:val="22"/>
        </w:rPr>
        <w:t>igure</w:t>
      </w:r>
      <w:r w:rsidRPr="000927E0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5</w:t>
      </w:r>
      <w:r w:rsidRPr="000927E0">
        <w:rPr>
          <w:rFonts w:ascii="Calibri" w:hAnsi="Calibri" w:cs="Calibri"/>
          <w:b/>
          <w:sz w:val="22"/>
          <w:szCs w:val="22"/>
        </w:rPr>
        <w:t>.</w:t>
      </w:r>
      <w:r w:rsidRPr="000927E0">
        <w:rPr>
          <w:rFonts w:ascii="Calibri" w:hAnsi="Calibri" w:cs="Calibri"/>
          <w:bCs/>
          <w:sz w:val="22"/>
          <w:szCs w:val="22"/>
        </w:rPr>
        <w:t xml:space="preserve"> </w:t>
      </w:r>
      <w:r w:rsidRPr="0032440A">
        <w:rPr>
          <w:rFonts w:ascii="Calibri" w:hAnsi="Calibri" w:cs="Calibri"/>
          <w:bCs/>
          <w:sz w:val="22"/>
          <w:szCs w:val="22"/>
        </w:rPr>
        <w:t>Phylogenetic tree of the RNA-</w:t>
      </w:r>
      <w:r w:rsidR="00712D9E">
        <w:rPr>
          <w:rFonts w:ascii="Calibri" w:hAnsi="Calibri" w:cs="Calibri"/>
          <w:bCs/>
          <w:sz w:val="22"/>
          <w:szCs w:val="22"/>
        </w:rPr>
        <w:t>directed</w:t>
      </w:r>
      <w:r w:rsidRPr="0032440A">
        <w:rPr>
          <w:rFonts w:ascii="Calibri" w:hAnsi="Calibri" w:cs="Calibri"/>
          <w:bCs/>
          <w:sz w:val="22"/>
          <w:szCs w:val="22"/>
        </w:rPr>
        <w:t xml:space="preserve"> RNA polymerase (</w:t>
      </w:r>
      <w:proofErr w:type="spellStart"/>
      <w:r w:rsidRPr="0032440A">
        <w:rPr>
          <w:rFonts w:ascii="Calibri" w:hAnsi="Calibri" w:cs="Calibri"/>
          <w:bCs/>
          <w:sz w:val="22"/>
          <w:szCs w:val="22"/>
        </w:rPr>
        <w:t>RdRp</w:t>
      </w:r>
      <w:proofErr w:type="spellEnd"/>
      <w:r w:rsidRPr="00817BC2">
        <w:rPr>
          <w:rFonts w:ascii="Calibri" w:hAnsi="Calibri" w:cs="Calibri"/>
          <w:bCs/>
          <w:sz w:val="22"/>
          <w:szCs w:val="22"/>
        </w:rPr>
        <w:t>)</w:t>
      </w:r>
      <w:r w:rsidRPr="0032440A">
        <w:rPr>
          <w:rFonts w:ascii="Calibri" w:hAnsi="Calibri" w:cs="Calibri"/>
          <w:bCs/>
          <w:sz w:val="22"/>
          <w:szCs w:val="22"/>
        </w:rPr>
        <w:t xml:space="preserve"> of</w:t>
      </w:r>
      <w:r w:rsidRPr="00817BC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32440A">
        <w:rPr>
          <w:rFonts w:asciiTheme="minorHAnsi" w:hAnsiTheme="minorHAnsi" w:cstheme="minorHAnsi"/>
          <w:sz w:val="22"/>
          <w:szCs w:val="22"/>
          <w:lang w:val="en-GB"/>
        </w:rPr>
        <w:t>ECMaV</w:t>
      </w:r>
      <w:proofErr w:type="spellEnd"/>
      <w:r>
        <w:rPr>
          <w:rFonts w:ascii="Calibri" w:hAnsi="Calibri"/>
          <w:bCs/>
          <w:sz w:val="22"/>
          <w:szCs w:val="22"/>
        </w:rPr>
        <w:t>,</w:t>
      </w:r>
      <w:r w:rsidRPr="0032440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Theme="minorHAnsi" w:eastAsia="STIX-Italic" w:hAnsiTheme="minorHAnsi" w:cstheme="minorHAnsi"/>
          <w:sz w:val="22"/>
          <w:szCs w:val="22"/>
        </w:rPr>
        <w:t>representative members of all the genera of the</w:t>
      </w:r>
      <w:r>
        <w:rPr>
          <w:rFonts w:ascii="Calibri" w:hAnsi="Calibri"/>
          <w:bCs/>
          <w:sz w:val="22"/>
          <w:szCs w:val="22"/>
          <w:lang w:val="en-GB"/>
        </w:rPr>
        <w:t xml:space="preserve"> family </w:t>
      </w:r>
      <w:proofErr w:type="spellStart"/>
      <w:r w:rsidRPr="00471EE5">
        <w:rPr>
          <w:rFonts w:asciiTheme="minorHAnsi" w:hAnsiTheme="minorHAnsi" w:cstheme="minorHAnsi"/>
          <w:i/>
          <w:sz w:val="22"/>
          <w:szCs w:val="22"/>
        </w:rPr>
        <w:t>Phenuiviridae</w:t>
      </w:r>
      <w:proofErr w:type="spellEnd"/>
      <w:r w:rsidR="00712D9E">
        <w:rPr>
          <w:rFonts w:asciiTheme="minorHAnsi" w:eastAsia="STIX-Italic" w:hAnsiTheme="minorHAnsi" w:cstheme="minorHAnsi"/>
          <w:sz w:val="22"/>
          <w:szCs w:val="22"/>
        </w:rPr>
        <w:t>,</w:t>
      </w:r>
      <w:r w:rsidRPr="0032440A">
        <w:rPr>
          <w:rFonts w:ascii="Calibri" w:hAnsi="Calibri"/>
          <w:bCs/>
          <w:sz w:val="22"/>
          <w:szCs w:val="22"/>
        </w:rPr>
        <w:t xml:space="preserve"> </w:t>
      </w:r>
      <w:bookmarkStart w:id="0" w:name="_Hlk135513983"/>
      <w:r w:rsidRPr="0032440A">
        <w:rPr>
          <w:rFonts w:ascii="Calibri" w:hAnsi="Calibri"/>
          <w:bCs/>
          <w:sz w:val="22"/>
          <w:szCs w:val="22"/>
        </w:rPr>
        <w:t xml:space="preserve">and </w:t>
      </w:r>
      <w:r w:rsidR="00712D9E">
        <w:rPr>
          <w:rFonts w:ascii="Calibri" w:hAnsi="Calibri"/>
          <w:bCs/>
          <w:sz w:val="22"/>
          <w:szCs w:val="22"/>
        </w:rPr>
        <w:t xml:space="preserve">tomato chlorotic spot virus (bunyaviral </w:t>
      </w:r>
      <w:proofErr w:type="spellStart"/>
      <w:r w:rsidR="00712D9E" w:rsidRPr="00712D9E">
        <w:rPr>
          <w:rFonts w:ascii="Calibri" w:hAnsi="Calibri"/>
          <w:bCs/>
          <w:i/>
          <w:iCs/>
          <w:sz w:val="22"/>
          <w:szCs w:val="22"/>
        </w:rPr>
        <w:t>Tospoviridae</w:t>
      </w:r>
      <w:proofErr w:type="spellEnd"/>
      <w:r w:rsidR="00712D9E">
        <w:rPr>
          <w:rFonts w:ascii="Calibri" w:hAnsi="Calibri"/>
          <w:bCs/>
          <w:sz w:val="22"/>
          <w:szCs w:val="22"/>
        </w:rPr>
        <w:t>)</w:t>
      </w:r>
      <w:r w:rsidRPr="0032440A">
        <w:rPr>
          <w:rFonts w:ascii="Calibri" w:hAnsi="Calibri"/>
          <w:bCs/>
          <w:sz w:val="22"/>
          <w:szCs w:val="22"/>
        </w:rPr>
        <w:t xml:space="preserve"> as </w:t>
      </w:r>
      <w:r w:rsidR="00712D9E">
        <w:rPr>
          <w:rFonts w:ascii="Calibri" w:hAnsi="Calibri"/>
          <w:bCs/>
          <w:sz w:val="22"/>
          <w:szCs w:val="22"/>
        </w:rPr>
        <w:t xml:space="preserve">the </w:t>
      </w:r>
      <w:r w:rsidRPr="0032440A">
        <w:rPr>
          <w:rFonts w:ascii="Calibri" w:hAnsi="Calibri"/>
          <w:bCs/>
          <w:sz w:val="22"/>
          <w:szCs w:val="22"/>
        </w:rPr>
        <w:t>outgroup</w:t>
      </w:r>
      <w:bookmarkEnd w:id="0"/>
      <w:r w:rsidRPr="0032440A">
        <w:rPr>
          <w:rFonts w:ascii="Calibri" w:hAnsi="Calibri" w:cs="Calibri"/>
          <w:bCs/>
          <w:sz w:val="22"/>
          <w:szCs w:val="22"/>
        </w:rPr>
        <w:t xml:space="preserve">. Maximum likelihood method adopting the LG + G + F amino acid substitution model was used to infer the phylogenetic </w:t>
      </w:r>
      <w:r w:rsidRPr="000927E0">
        <w:rPr>
          <w:rFonts w:ascii="Calibri" w:hAnsi="Calibri" w:cs="Calibri"/>
          <w:bCs/>
          <w:sz w:val="22"/>
          <w:szCs w:val="22"/>
        </w:rPr>
        <w:t>tree. Bootstrap probability values (</w:t>
      </w:r>
      <w:r>
        <w:rPr>
          <w:rFonts w:ascii="Calibri" w:hAnsi="Calibri" w:cs="Calibri"/>
          <w:bCs/>
          <w:sz w:val="22"/>
          <w:szCs w:val="22"/>
        </w:rPr>
        <w:t>1</w:t>
      </w:r>
      <w:r w:rsidR="00712D9E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>0</w:t>
      </w:r>
      <w:r w:rsidRPr="000927E0">
        <w:rPr>
          <w:rFonts w:ascii="Calibri" w:hAnsi="Calibri" w:cs="Calibri"/>
          <w:bCs/>
          <w:sz w:val="22"/>
          <w:szCs w:val="22"/>
        </w:rPr>
        <w:t xml:space="preserve">00 replicates) are shown at branch nodes. Tree branches are proportional to the genetic distances, with the scale bar indicating substitutions per amino acid site. </w:t>
      </w:r>
    </w:p>
    <w:p w14:paraId="3E395DF5" w14:textId="77777777" w:rsidR="00F33F57" w:rsidRPr="000927E0" w:rsidRDefault="00F33F57" w:rsidP="00F33F57">
      <w:pPr>
        <w:rPr>
          <w:rFonts w:ascii="Calibri" w:hAnsi="Calibri" w:cs="Calibri"/>
          <w:b/>
          <w:sz w:val="22"/>
          <w:szCs w:val="22"/>
        </w:rPr>
      </w:pPr>
    </w:p>
    <w:p w14:paraId="39D64E88" w14:textId="77777777" w:rsidR="00F33F57" w:rsidRPr="000927E0" w:rsidRDefault="00F33F57" w:rsidP="00494AAE">
      <w:pPr>
        <w:spacing w:before="120" w:after="120"/>
        <w:jc w:val="both"/>
        <w:rPr>
          <w:rFonts w:ascii="Arial" w:hAnsi="Arial" w:cs="Arial"/>
          <w:b/>
        </w:rPr>
      </w:pPr>
      <w:r w:rsidRPr="000927E0">
        <w:rPr>
          <w:rFonts w:ascii="Arial" w:hAnsi="Arial" w:cs="Arial"/>
          <w:b/>
        </w:rPr>
        <w:t>References</w:t>
      </w:r>
    </w:p>
    <w:p w14:paraId="6D8F78AB" w14:textId="77777777" w:rsidR="00F33F57" w:rsidRPr="00900DC6" w:rsidRDefault="00F33F57" w:rsidP="00494AA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Chen Z, </w:t>
      </w:r>
      <w:proofErr w:type="spellStart"/>
      <w:r w:rsidRPr="000927E0">
        <w:rPr>
          <w:rFonts w:ascii="Calibri" w:eastAsia="SimSun" w:hAnsi="Calibri" w:cs="Calibri"/>
          <w:sz w:val="22"/>
          <w:szCs w:val="22"/>
          <w:lang w:eastAsia="zh-CN"/>
        </w:rPr>
        <w:t>Anane</w:t>
      </w:r>
      <w:proofErr w:type="spellEnd"/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RF., W</w:t>
      </w:r>
      <w:r>
        <w:rPr>
          <w:rFonts w:ascii="Calibri" w:eastAsia="SimSun" w:hAnsi="Calibri" w:cs="Calibri"/>
          <w:sz w:val="22"/>
          <w:szCs w:val="22"/>
          <w:lang w:eastAsia="zh-CN"/>
        </w:rPr>
        <w:t>a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>ng Z</w:t>
      </w:r>
      <w:r>
        <w:rPr>
          <w:rFonts w:ascii="Calibri" w:eastAsia="SimSun" w:hAnsi="Calibri" w:cs="Calibri"/>
          <w:sz w:val="22"/>
          <w:szCs w:val="22"/>
          <w:lang w:eastAsia="zh-CN"/>
        </w:rPr>
        <w:t>,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Gao L, Chen L, Li S, 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Wen G, 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Zhao M. 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(2021) 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Complete genome sequence analysis of a novel </w:t>
      </w:r>
      <w:proofErr w:type="spellStart"/>
      <w:r w:rsidRPr="000927E0">
        <w:rPr>
          <w:rFonts w:ascii="Calibri" w:eastAsia="SimSun" w:hAnsi="Calibri" w:cs="Calibri"/>
          <w:sz w:val="22"/>
          <w:szCs w:val="22"/>
          <w:lang w:eastAsia="zh-CN"/>
        </w:rPr>
        <w:t>coguvirus</w:t>
      </w:r>
      <w:proofErr w:type="spellEnd"/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isolated from </w:t>
      </w:r>
      <w:r w:rsidRPr="00712D9E">
        <w:rPr>
          <w:rFonts w:ascii="Calibri" w:eastAsia="SimSun" w:hAnsi="Calibri" w:cs="Calibri"/>
          <w:i/>
          <w:iCs/>
          <w:sz w:val="22"/>
          <w:szCs w:val="22"/>
          <w:lang w:eastAsia="zh-CN"/>
        </w:rPr>
        <w:t>Paris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proofErr w:type="spellStart"/>
      <w:r w:rsidRPr="00712D9E">
        <w:rPr>
          <w:rFonts w:ascii="Calibri" w:eastAsia="SimSun" w:hAnsi="Calibri" w:cs="Calibri"/>
          <w:i/>
          <w:iCs/>
          <w:sz w:val="22"/>
          <w:szCs w:val="22"/>
          <w:lang w:eastAsia="zh-CN"/>
        </w:rPr>
        <w:t>polyphylla</w:t>
      </w:r>
      <w:proofErr w:type="spellEnd"/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var. </w:t>
      </w:r>
      <w:proofErr w:type="spellStart"/>
      <w:r w:rsidRPr="00712D9E">
        <w:rPr>
          <w:rFonts w:ascii="Calibri" w:eastAsia="SimSun" w:hAnsi="Calibri" w:cs="Calibri"/>
          <w:i/>
          <w:iCs/>
          <w:sz w:val="22"/>
          <w:szCs w:val="22"/>
          <w:lang w:eastAsia="zh-CN"/>
        </w:rPr>
        <w:t>yunnanensis</w:t>
      </w:r>
      <w:proofErr w:type="spellEnd"/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900DC6">
        <w:rPr>
          <w:rFonts w:ascii="Calibri" w:eastAsia="SimSun" w:hAnsi="Calibri" w:cs="Calibri"/>
          <w:sz w:val="22"/>
          <w:szCs w:val="22"/>
          <w:lang w:eastAsia="zh-CN"/>
        </w:rPr>
        <w:t xml:space="preserve">Arch </w:t>
      </w:r>
      <w:proofErr w:type="spellStart"/>
      <w:r w:rsidRPr="00900DC6">
        <w:rPr>
          <w:rFonts w:ascii="Calibri" w:eastAsia="SimSun" w:hAnsi="Calibri" w:cs="Calibri"/>
          <w:sz w:val="22"/>
          <w:szCs w:val="22"/>
          <w:lang w:eastAsia="zh-CN"/>
        </w:rPr>
        <w:t>Virol</w:t>
      </w:r>
      <w:proofErr w:type="spellEnd"/>
      <w:r w:rsidRPr="00900DC6">
        <w:rPr>
          <w:rFonts w:ascii="Calibri" w:eastAsia="SimSun" w:hAnsi="Calibri" w:cs="Calibri"/>
          <w:sz w:val="22"/>
          <w:szCs w:val="22"/>
          <w:lang w:eastAsia="zh-CN"/>
        </w:rPr>
        <w:t xml:space="preserve"> 166</w:t>
      </w:r>
      <w:r>
        <w:rPr>
          <w:rFonts w:ascii="Calibri" w:eastAsia="SimSun" w:hAnsi="Calibri" w:cs="Calibri"/>
          <w:sz w:val="22"/>
          <w:szCs w:val="22"/>
          <w:lang w:eastAsia="zh-CN"/>
        </w:rPr>
        <w:t>:</w:t>
      </w:r>
      <w:r w:rsidRPr="00900DC6">
        <w:rPr>
          <w:rFonts w:ascii="Calibri" w:eastAsia="SimSun" w:hAnsi="Calibri" w:cs="Calibri"/>
          <w:sz w:val="22"/>
          <w:szCs w:val="22"/>
          <w:lang w:eastAsia="zh-CN"/>
        </w:rPr>
        <w:t xml:space="preserve">2045–2050. </w:t>
      </w:r>
      <w:hyperlink r:id="rId18" w:history="1">
        <w:r w:rsidRPr="00900DC6">
          <w:rPr>
            <w:rFonts w:ascii="Calibri" w:eastAsia="SimSun" w:hAnsi="Calibri" w:cs="Calibri"/>
            <w:color w:val="0000FF"/>
            <w:sz w:val="22"/>
            <w:szCs w:val="22"/>
            <w:u w:val="single"/>
            <w:lang w:eastAsia="zh-CN"/>
          </w:rPr>
          <w:t>https://doi.org/10.1007/s00705-021-05087-x</w:t>
        </w:r>
      </w:hyperlink>
    </w:p>
    <w:p w14:paraId="14A04711" w14:textId="77777777" w:rsidR="00F33F57" w:rsidRPr="000927E0" w:rsidRDefault="00F33F57" w:rsidP="00494AA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3D31EE1" w14:textId="77777777" w:rsidR="00F33F57" w:rsidRPr="000927E0" w:rsidRDefault="00F33F57" w:rsidP="00494AA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927E0">
        <w:rPr>
          <w:rFonts w:ascii="Calibri" w:eastAsia="SimSun" w:hAnsi="Calibri" w:cs="Calibri"/>
          <w:sz w:val="22"/>
          <w:szCs w:val="22"/>
          <w:lang w:eastAsia="zh-CN"/>
        </w:rPr>
        <w:t>Tang L, Song L, Ye Z</w:t>
      </w:r>
      <w:r>
        <w:rPr>
          <w:rFonts w:ascii="Calibri" w:eastAsia="SimSun" w:hAnsi="Calibri" w:cs="Calibri"/>
          <w:sz w:val="22"/>
          <w:szCs w:val="22"/>
          <w:lang w:eastAsia="zh-CN"/>
        </w:rPr>
        <w:t>,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Lin C, Wang B, Lin J, Gao C</w:t>
      </w:r>
      <w:r>
        <w:rPr>
          <w:rFonts w:ascii="Calibri" w:eastAsia="SimSun" w:hAnsi="Calibri" w:cs="Calibri"/>
          <w:sz w:val="22"/>
          <w:szCs w:val="22"/>
          <w:lang w:eastAsia="zh-CN"/>
        </w:rPr>
        <w:t>,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Wang A. (2021) A novel negative-stranded RNA virus of the order </w:t>
      </w:r>
      <w:proofErr w:type="spellStart"/>
      <w:r w:rsidRPr="00712D9E">
        <w:rPr>
          <w:rFonts w:ascii="Calibri" w:eastAsia="SimSun" w:hAnsi="Calibri" w:cs="Calibri"/>
          <w:i/>
          <w:iCs/>
          <w:sz w:val="22"/>
          <w:szCs w:val="22"/>
          <w:lang w:eastAsia="zh-CN"/>
        </w:rPr>
        <w:t>Bunyavirales</w:t>
      </w:r>
      <w:proofErr w:type="spellEnd"/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identified in </w:t>
      </w:r>
      <w:r w:rsidRPr="00712D9E">
        <w:rPr>
          <w:rFonts w:ascii="Calibri" w:eastAsia="SimSun" w:hAnsi="Calibri" w:cs="Calibri"/>
          <w:i/>
          <w:iCs/>
          <w:sz w:val="22"/>
          <w:szCs w:val="22"/>
          <w:lang w:eastAsia="zh-CN"/>
        </w:rPr>
        <w:t>Brassica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2D9E">
        <w:rPr>
          <w:rFonts w:ascii="Calibri" w:eastAsia="SimSun" w:hAnsi="Calibri" w:cs="Calibri"/>
          <w:i/>
          <w:iCs/>
          <w:sz w:val="22"/>
          <w:szCs w:val="22"/>
          <w:lang w:eastAsia="zh-CN"/>
        </w:rPr>
        <w:t>campestris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L. ssp. </w:t>
      </w:r>
      <w:r w:rsidRPr="00712D9E">
        <w:rPr>
          <w:rFonts w:ascii="Calibri" w:eastAsia="SimSun" w:hAnsi="Calibri" w:cs="Calibri"/>
          <w:i/>
          <w:iCs/>
          <w:sz w:val="22"/>
          <w:szCs w:val="22"/>
          <w:lang w:eastAsia="zh-CN"/>
        </w:rPr>
        <w:t>chinensis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. Arch </w:t>
      </w:r>
      <w:proofErr w:type="spellStart"/>
      <w:r w:rsidRPr="000927E0">
        <w:rPr>
          <w:rFonts w:ascii="Calibri" w:eastAsia="SimSun" w:hAnsi="Calibri" w:cs="Calibri"/>
          <w:sz w:val="22"/>
          <w:szCs w:val="22"/>
          <w:lang w:eastAsia="zh-CN"/>
        </w:rPr>
        <w:t>Virol</w:t>
      </w:r>
      <w:proofErr w:type="spellEnd"/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 166</w:t>
      </w:r>
      <w:r>
        <w:rPr>
          <w:rFonts w:ascii="Calibri" w:eastAsia="SimSun" w:hAnsi="Calibri" w:cs="Calibri"/>
          <w:sz w:val="22"/>
          <w:szCs w:val="22"/>
          <w:lang w:eastAsia="zh-CN"/>
        </w:rPr>
        <w:t>: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1525–1528. </w:t>
      </w:r>
      <w:hyperlink r:id="rId19" w:history="1">
        <w:r w:rsidRPr="000927E0">
          <w:rPr>
            <w:rFonts w:ascii="Calibri" w:eastAsia="SimSun" w:hAnsi="Calibri" w:cs="Calibri"/>
            <w:color w:val="0000FF"/>
            <w:sz w:val="22"/>
            <w:szCs w:val="22"/>
            <w:u w:val="single"/>
            <w:lang w:eastAsia="zh-CN"/>
          </w:rPr>
          <w:t>https://doi.org/10.1007/s00705-021-05031-z</w:t>
        </w:r>
      </w:hyperlink>
    </w:p>
    <w:p w14:paraId="3554976C" w14:textId="77777777" w:rsidR="00F33F57" w:rsidRPr="000927E0" w:rsidRDefault="00F33F57" w:rsidP="00494AA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941E37A" w14:textId="77777777" w:rsidR="00F33F57" w:rsidRPr="00900DC6" w:rsidRDefault="00F33F57" w:rsidP="00494AA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00DC6">
        <w:rPr>
          <w:rFonts w:ascii="Calibri" w:eastAsia="SimSun" w:hAnsi="Calibri" w:cs="Calibri"/>
          <w:sz w:val="22"/>
          <w:szCs w:val="22"/>
          <w:lang w:eastAsia="zh-CN"/>
        </w:rPr>
        <w:t>Navarro B, Minutolo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M</w:t>
      </w:r>
      <w:r w:rsidRPr="00900DC6">
        <w:rPr>
          <w:rFonts w:ascii="Calibri" w:eastAsia="SimSun" w:hAnsi="Calibri" w:cs="Calibri"/>
          <w:sz w:val="22"/>
          <w:szCs w:val="22"/>
          <w:lang w:eastAsia="zh-CN"/>
        </w:rPr>
        <w:t xml:space="preserve">, De </w:t>
      </w:r>
      <w:proofErr w:type="spellStart"/>
      <w:r w:rsidRPr="00900DC6">
        <w:rPr>
          <w:rFonts w:ascii="Calibri" w:eastAsia="SimSun" w:hAnsi="Calibri" w:cs="Calibri"/>
          <w:sz w:val="22"/>
          <w:szCs w:val="22"/>
          <w:lang w:eastAsia="zh-CN"/>
        </w:rPr>
        <w:t>Stradis</w:t>
      </w:r>
      <w:proofErr w:type="spellEnd"/>
      <w:r w:rsidRPr="00900DC6">
        <w:rPr>
          <w:rFonts w:ascii="Calibri" w:eastAsia="SimSun" w:hAnsi="Calibri" w:cs="Calibri"/>
          <w:sz w:val="22"/>
          <w:szCs w:val="22"/>
          <w:lang w:eastAsia="zh-CN"/>
        </w:rPr>
        <w:t xml:space="preserve"> A, Palmisano F, Alioto D, Di Serio F. </w:t>
      </w:r>
      <w:r w:rsidRPr="000927E0">
        <w:rPr>
          <w:rFonts w:ascii="Calibri" w:eastAsia="SimSun" w:hAnsi="Calibri" w:cs="Calibri"/>
          <w:sz w:val="22"/>
          <w:szCs w:val="22"/>
          <w:lang w:eastAsia="zh-CN"/>
        </w:rPr>
        <w:t xml:space="preserve">(2018a) The first phlebo‐like virus infecting plants: a case study on the adaptation of negative‐stranded RNA viruses to new hosts. </w:t>
      </w:r>
      <w:r w:rsidRPr="00900DC6">
        <w:rPr>
          <w:rFonts w:ascii="Calibri" w:eastAsia="SimSun" w:hAnsi="Calibri" w:cs="Calibri"/>
          <w:sz w:val="22"/>
          <w:szCs w:val="22"/>
          <w:lang w:eastAsia="zh-CN"/>
        </w:rPr>
        <w:t xml:space="preserve">Mol Plant </w:t>
      </w:r>
      <w:proofErr w:type="spellStart"/>
      <w:r w:rsidRPr="00900DC6">
        <w:rPr>
          <w:rFonts w:ascii="Calibri" w:eastAsia="SimSun" w:hAnsi="Calibri" w:cs="Calibri"/>
          <w:sz w:val="22"/>
          <w:szCs w:val="22"/>
          <w:lang w:eastAsia="zh-CN"/>
        </w:rPr>
        <w:t>Pathol</w:t>
      </w:r>
      <w:proofErr w:type="spellEnd"/>
      <w:r w:rsidRPr="00900DC6">
        <w:rPr>
          <w:rFonts w:ascii="Calibri" w:eastAsia="SimSun" w:hAnsi="Calibri" w:cs="Calibri"/>
          <w:sz w:val="22"/>
          <w:szCs w:val="22"/>
          <w:lang w:eastAsia="zh-CN"/>
        </w:rPr>
        <w:t xml:space="preserve"> 19:1075–1089. </w:t>
      </w:r>
      <w:proofErr w:type="spellStart"/>
      <w:r w:rsidRPr="00900DC6">
        <w:rPr>
          <w:rFonts w:ascii="Calibri" w:eastAsia="SimSun" w:hAnsi="Calibri" w:cs="Calibri"/>
          <w:sz w:val="22"/>
          <w:szCs w:val="22"/>
          <w:lang w:eastAsia="zh-CN"/>
        </w:rPr>
        <w:t>doi</w:t>
      </w:r>
      <w:proofErr w:type="spellEnd"/>
      <w:r w:rsidRPr="00900DC6">
        <w:rPr>
          <w:rFonts w:ascii="Calibri" w:eastAsia="SimSun" w:hAnsi="Calibri" w:cs="Calibri"/>
          <w:sz w:val="22"/>
          <w:szCs w:val="22"/>
          <w:lang w:eastAsia="zh-CN"/>
        </w:rPr>
        <w:t>: 10.1111/mpp.12587</w:t>
      </w:r>
    </w:p>
    <w:p w14:paraId="3FC07F9C" w14:textId="77777777" w:rsidR="00F33F57" w:rsidRPr="000927E0" w:rsidRDefault="00F33F57" w:rsidP="00494AA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6EC57AA" w14:textId="77777777" w:rsidR="00F33F57" w:rsidRDefault="00F33F57" w:rsidP="00494AAE">
      <w:pPr>
        <w:jc w:val="both"/>
        <w:rPr>
          <w:rFonts w:ascii="Calibri" w:hAnsi="Calibri" w:cs="Calibri"/>
          <w:sz w:val="22"/>
          <w:szCs w:val="22"/>
        </w:rPr>
      </w:pPr>
      <w:r w:rsidRPr="00900DC6">
        <w:rPr>
          <w:rFonts w:ascii="Calibri" w:hAnsi="Calibri" w:cs="Calibri"/>
          <w:sz w:val="22"/>
          <w:szCs w:val="22"/>
        </w:rPr>
        <w:t xml:space="preserve">Navarro B, </w:t>
      </w:r>
      <w:proofErr w:type="spellStart"/>
      <w:r w:rsidRPr="00900DC6">
        <w:rPr>
          <w:rFonts w:ascii="Calibri" w:hAnsi="Calibri" w:cs="Calibri"/>
          <w:sz w:val="22"/>
          <w:szCs w:val="22"/>
        </w:rPr>
        <w:t>Zicca</w:t>
      </w:r>
      <w:proofErr w:type="spellEnd"/>
      <w:r w:rsidRPr="00900DC6">
        <w:rPr>
          <w:rFonts w:ascii="Calibri" w:hAnsi="Calibri" w:cs="Calibri"/>
          <w:sz w:val="22"/>
          <w:szCs w:val="22"/>
        </w:rPr>
        <w:t xml:space="preserve"> S, Minutolo M, </w:t>
      </w:r>
      <w:proofErr w:type="spellStart"/>
      <w:r w:rsidRPr="00900DC6">
        <w:rPr>
          <w:rFonts w:ascii="Calibri" w:hAnsi="Calibri" w:cs="Calibri"/>
          <w:sz w:val="22"/>
          <w:szCs w:val="22"/>
        </w:rPr>
        <w:t>Saponari</w:t>
      </w:r>
      <w:proofErr w:type="spellEnd"/>
      <w:r w:rsidRPr="00900DC6">
        <w:rPr>
          <w:rFonts w:ascii="Calibri" w:hAnsi="Calibri" w:cs="Calibri"/>
          <w:sz w:val="22"/>
          <w:szCs w:val="22"/>
        </w:rPr>
        <w:t xml:space="preserve"> M, Alioto D, Di Serio F. </w:t>
      </w:r>
      <w:r w:rsidRPr="000927E0">
        <w:rPr>
          <w:rFonts w:ascii="Calibri" w:hAnsi="Calibri" w:cs="Calibri"/>
          <w:sz w:val="22"/>
          <w:szCs w:val="22"/>
        </w:rPr>
        <w:t xml:space="preserve">(2018b) A negative-stranded RNA virus infecting citrus trees: the second member of a new genus within the order </w:t>
      </w:r>
      <w:proofErr w:type="spellStart"/>
      <w:r w:rsidRPr="00712D9E">
        <w:rPr>
          <w:rFonts w:ascii="Calibri" w:hAnsi="Calibri" w:cs="Calibri"/>
          <w:i/>
          <w:iCs/>
          <w:sz w:val="22"/>
          <w:szCs w:val="22"/>
        </w:rPr>
        <w:t>Bunyavirales</w:t>
      </w:r>
      <w:proofErr w:type="spellEnd"/>
      <w:r w:rsidRPr="000927E0">
        <w:rPr>
          <w:rFonts w:ascii="Calibri" w:hAnsi="Calibri" w:cs="Calibri"/>
          <w:sz w:val="22"/>
          <w:szCs w:val="22"/>
        </w:rPr>
        <w:t xml:space="preserve">. Front Microbiol 9:2340. </w:t>
      </w:r>
      <w:proofErr w:type="spellStart"/>
      <w:r w:rsidRPr="000927E0">
        <w:rPr>
          <w:rFonts w:ascii="Calibri" w:hAnsi="Calibri" w:cs="Calibri"/>
          <w:sz w:val="22"/>
          <w:szCs w:val="22"/>
        </w:rPr>
        <w:t>doi</w:t>
      </w:r>
      <w:proofErr w:type="spellEnd"/>
      <w:r w:rsidRPr="000927E0">
        <w:rPr>
          <w:rFonts w:ascii="Calibri" w:hAnsi="Calibri" w:cs="Calibri"/>
          <w:sz w:val="22"/>
          <w:szCs w:val="22"/>
        </w:rPr>
        <w:t>: 10.3389/fmicb.2018.02340</w:t>
      </w:r>
      <w:r>
        <w:rPr>
          <w:rFonts w:ascii="Calibri" w:hAnsi="Calibri" w:cs="Calibri"/>
          <w:sz w:val="22"/>
          <w:szCs w:val="22"/>
        </w:rPr>
        <w:t>.</w:t>
      </w:r>
    </w:p>
    <w:p w14:paraId="43EC0659" w14:textId="77777777" w:rsidR="00F33F57" w:rsidRDefault="00F33F57" w:rsidP="00494AAE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0BC6C42" w14:textId="1645C627" w:rsidR="00F33F57" w:rsidRPr="00783FA5" w:rsidRDefault="00F33F57" w:rsidP="00494AAE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83FA5">
        <w:rPr>
          <w:rFonts w:asciiTheme="minorHAnsi" w:hAnsiTheme="minorHAnsi" w:cstheme="minorHAnsi"/>
          <w:sz w:val="22"/>
          <w:szCs w:val="22"/>
          <w:lang w:val="en-GB"/>
        </w:rPr>
        <w:t>Wang X, Liao R, Yang X, Liu Q, Zhang S, Cao M.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(2022)</w:t>
      </w:r>
      <w:r w:rsidRPr="00783FA5">
        <w:rPr>
          <w:rFonts w:asciiTheme="minorHAnsi" w:hAnsiTheme="minorHAnsi" w:cstheme="minorHAnsi"/>
          <w:sz w:val="22"/>
          <w:szCs w:val="22"/>
          <w:lang w:val="en-GB"/>
        </w:rPr>
        <w:t xml:space="preserve"> Complete genome sequence of </w:t>
      </w:r>
      <w:proofErr w:type="spellStart"/>
      <w:r w:rsidRPr="00712D9E">
        <w:rPr>
          <w:rFonts w:asciiTheme="minorHAnsi" w:hAnsiTheme="minorHAnsi" w:cstheme="minorHAnsi"/>
          <w:i/>
          <w:iCs/>
          <w:sz w:val="22"/>
          <w:szCs w:val="22"/>
          <w:lang w:val="en-GB"/>
        </w:rPr>
        <w:t>Edgeworthia</w:t>
      </w:r>
      <w:proofErr w:type="spellEnd"/>
      <w:r w:rsidRPr="00783FA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12D9E">
        <w:rPr>
          <w:rFonts w:asciiTheme="minorHAnsi" w:hAnsiTheme="minorHAnsi" w:cstheme="minorHAnsi"/>
          <w:i/>
          <w:iCs/>
          <w:sz w:val="22"/>
          <w:szCs w:val="22"/>
          <w:lang w:val="en-GB"/>
        </w:rPr>
        <w:t>chrysantha</w:t>
      </w:r>
      <w:proofErr w:type="spellEnd"/>
      <w:r w:rsidRPr="00783FA5">
        <w:rPr>
          <w:rFonts w:asciiTheme="minorHAnsi" w:hAnsiTheme="minorHAnsi" w:cstheme="minorHAnsi"/>
          <w:sz w:val="22"/>
          <w:szCs w:val="22"/>
          <w:lang w:val="en-GB"/>
        </w:rPr>
        <w:t xml:space="preserve"> mosaic-associated virus, a tentative new member of the genus </w:t>
      </w:r>
      <w:proofErr w:type="spellStart"/>
      <w:r w:rsidRPr="00712D9E">
        <w:rPr>
          <w:rFonts w:asciiTheme="minorHAnsi" w:hAnsiTheme="minorHAnsi" w:cstheme="minorHAnsi"/>
          <w:i/>
          <w:iCs/>
          <w:sz w:val="22"/>
          <w:szCs w:val="22"/>
          <w:lang w:val="en-GB"/>
        </w:rPr>
        <w:t>Coguvirus</w:t>
      </w:r>
      <w:proofErr w:type="spellEnd"/>
      <w:r w:rsidRPr="00783FA5">
        <w:rPr>
          <w:rFonts w:asciiTheme="minorHAnsi" w:hAnsiTheme="minorHAnsi" w:cstheme="minorHAnsi"/>
          <w:sz w:val="22"/>
          <w:szCs w:val="22"/>
          <w:lang w:val="en-GB"/>
        </w:rPr>
        <w:t xml:space="preserve"> (family </w:t>
      </w:r>
      <w:proofErr w:type="spellStart"/>
      <w:r w:rsidRPr="00712D9E">
        <w:rPr>
          <w:rFonts w:asciiTheme="minorHAnsi" w:hAnsiTheme="minorHAnsi" w:cstheme="minorHAnsi"/>
          <w:i/>
          <w:iCs/>
          <w:sz w:val="22"/>
          <w:szCs w:val="22"/>
          <w:lang w:val="en-GB"/>
        </w:rPr>
        <w:t>Phenuiviridae</w:t>
      </w:r>
      <w:proofErr w:type="spellEnd"/>
      <w:r w:rsidRPr="00783FA5">
        <w:rPr>
          <w:rFonts w:asciiTheme="minorHAnsi" w:hAnsiTheme="minorHAnsi" w:cstheme="minorHAnsi"/>
          <w:sz w:val="22"/>
          <w:szCs w:val="22"/>
          <w:lang w:val="en-GB"/>
        </w:rPr>
        <w:t xml:space="preserve">). Arch </w:t>
      </w:r>
      <w:proofErr w:type="spellStart"/>
      <w:r w:rsidRPr="00783FA5">
        <w:rPr>
          <w:rFonts w:asciiTheme="minorHAnsi" w:hAnsiTheme="minorHAnsi" w:cstheme="minorHAnsi"/>
          <w:sz w:val="22"/>
          <w:szCs w:val="22"/>
          <w:lang w:val="en-GB"/>
        </w:rPr>
        <w:t>Virol</w:t>
      </w:r>
      <w:proofErr w:type="spellEnd"/>
      <w:r w:rsidRPr="00783FA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F33F57">
        <w:rPr>
          <w:rFonts w:asciiTheme="minorHAnsi" w:hAnsiTheme="minorHAnsi" w:cstheme="minorHAnsi"/>
          <w:sz w:val="22"/>
          <w:szCs w:val="22"/>
          <w:lang w:val="en-GB"/>
        </w:rPr>
        <w:t>167:2827-2831</w:t>
      </w:r>
      <w:r w:rsidRPr="00783FA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proofErr w:type="spellStart"/>
      <w:r w:rsidRPr="00783FA5">
        <w:rPr>
          <w:rFonts w:asciiTheme="minorHAnsi" w:hAnsiTheme="minorHAnsi" w:cstheme="minorHAnsi"/>
          <w:sz w:val="22"/>
          <w:szCs w:val="22"/>
          <w:lang w:val="en-GB"/>
        </w:rPr>
        <w:t>doi</w:t>
      </w:r>
      <w:proofErr w:type="spellEnd"/>
      <w:r w:rsidRPr="00783FA5">
        <w:rPr>
          <w:rFonts w:asciiTheme="minorHAnsi" w:hAnsiTheme="minorHAnsi" w:cstheme="minorHAnsi"/>
          <w:sz w:val="22"/>
          <w:szCs w:val="22"/>
          <w:lang w:val="en-GB"/>
        </w:rPr>
        <w:t>: 10.1007/s00705-022-05608-2.</w:t>
      </w:r>
    </w:p>
    <w:p w14:paraId="6791F757" w14:textId="77777777" w:rsidR="00F33F57" w:rsidRPr="00783FA5" w:rsidRDefault="00F33F57" w:rsidP="00494AAE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2DBC5895" w14:textId="77777777" w:rsidR="00F33F57" w:rsidRPr="000927E0" w:rsidRDefault="00F33F57" w:rsidP="00494AAE">
      <w:pPr>
        <w:jc w:val="both"/>
        <w:rPr>
          <w:rFonts w:ascii="Calibri" w:eastAsia="SimSun" w:hAnsi="Calibri" w:cs="SimSun"/>
          <w:sz w:val="22"/>
          <w:szCs w:val="22"/>
          <w:lang w:eastAsia="zh-CN"/>
        </w:rPr>
      </w:pPr>
      <w:r w:rsidRPr="000927E0">
        <w:rPr>
          <w:rFonts w:ascii="Calibri" w:eastAsia="SimSun" w:hAnsi="Calibri" w:cs="SimSun"/>
          <w:sz w:val="22"/>
          <w:szCs w:val="22"/>
          <w:lang w:eastAsia="zh-CN"/>
        </w:rPr>
        <w:t>Xin M, Cao M, Liu W</w:t>
      </w:r>
      <w:r>
        <w:rPr>
          <w:rFonts w:ascii="Calibri" w:eastAsia="SimSun" w:hAnsi="Calibri" w:cs="SimSun"/>
          <w:sz w:val="22"/>
          <w:szCs w:val="22"/>
          <w:lang w:eastAsia="zh-CN"/>
        </w:rPr>
        <w:t>,</w:t>
      </w:r>
      <w:r w:rsidRPr="000927E0">
        <w:rPr>
          <w:rFonts w:ascii="Calibri" w:eastAsia="SimSun" w:hAnsi="Calibri" w:cs="SimSun"/>
          <w:sz w:val="22"/>
          <w:szCs w:val="22"/>
          <w:lang w:eastAsia="zh-CN"/>
        </w:rPr>
        <w:t xml:space="preserve"> Ren Y, Zhou X, Wang X. (2017) Two negative-strand RNA viruses identified in watermelon represent a novel clade in the order </w:t>
      </w:r>
      <w:proofErr w:type="spellStart"/>
      <w:r w:rsidRPr="00712D9E">
        <w:rPr>
          <w:rFonts w:ascii="Calibri" w:eastAsia="SimSun" w:hAnsi="Calibri" w:cs="SimSun"/>
          <w:i/>
          <w:iCs/>
          <w:sz w:val="22"/>
          <w:szCs w:val="22"/>
          <w:lang w:eastAsia="zh-CN"/>
        </w:rPr>
        <w:t>Bunyavirales</w:t>
      </w:r>
      <w:proofErr w:type="spellEnd"/>
      <w:r w:rsidRPr="000927E0">
        <w:rPr>
          <w:rFonts w:ascii="Calibri" w:eastAsia="SimSun" w:hAnsi="Calibri" w:cs="SimSun"/>
          <w:sz w:val="22"/>
          <w:szCs w:val="22"/>
          <w:lang w:eastAsia="zh-CN"/>
        </w:rPr>
        <w:t xml:space="preserve">. Front Microbiol 8:1514. </w:t>
      </w:r>
      <w:proofErr w:type="spellStart"/>
      <w:r w:rsidRPr="000927E0">
        <w:rPr>
          <w:rFonts w:ascii="Calibri" w:eastAsia="SimSun" w:hAnsi="Calibri" w:cs="SimSun"/>
          <w:sz w:val="22"/>
          <w:szCs w:val="22"/>
          <w:lang w:eastAsia="zh-CN"/>
        </w:rPr>
        <w:t>doi</w:t>
      </w:r>
      <w:proofErr w:type="spellEnd"/>
      <w:r w:rsidRPr="000927E0">
        <w:rPr>
          <w:rFonts w:ascii="Calibri" w:eastAsia="SimSun" w:hAnsi="Calibri" w:cs="SimSun"/>
          <w:sz w:val="22"/>
          <w:szCs w:val="22"/>
          <w:lang w:eastAsia="zh-CN"/>
        </w:rPr>
        <w:t xml:space="preserve">: 10.3389/fmicb.2017.01514. </w:t>
      </w:r>
    </w:p>
    <w:p w14:paraId="2D9F0DFE" w14:textId="77777777" w:rsidR="00F33F57" w:rsidRPr="000927E0" w:rsidRDefault="00F33F57" w:rsidP="00494AAE">
      <w:pPr>
        <w:jc w:val="both"/>
        <w:rPr>
          <w:rFonts w:ascii="Calibri" w:eastAsia="SimSun" w:hAnsi="Calibri" w:cs="SimSun"/>
          <w:sz w:val="22"/>
          <w:szCs w:val="22"/>
          <w:lang w:eastAsia="zh-CN"/>
        </w:rPr>
      </w:pPr>
    </w:p>
    <w:p w14:paraId="49E89626" w14:textId="77777777" w:rsidR="00F33F57" w:rsidRPr="000927E0" w:rsidRDefault="00F33F57" w:rsidP="00494AAE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927E0">
        <w:rPr>
          <w:rFonts w:ascii="Calibri" w:eastAsia="SimSun" w:hAnsi="Calibri" w:cs="SimSun"/>
          <w:sz w:val="22"/>
          <w:szCs w:val="22"/>
          <w:lang w:eastAsia="zh-CN"/>
        </w:rPr>
        <w:t xml:space="preserve">Zhang S, Tian X, Navarro B, Di Serio F, Cao M. (2021) Watermelon crinkle leaf-associated virus 1 and watermelon crinkle leaf-associated virus 2 have a bipartite genome with molecular signatures typical of the members of the genus </w:t>
      </w:r>
      <w:proofErr w:type="spellStart"/>
      <w:r w:rsidRPr="00712D9E">
        <w:rPr>
          <w:rFonts w:ascii="Calibri" w:eastAsia="SimSun" w:hAnsi="Calibri" w:cs="SimSun"/>
          <w:i/>
          <w:iCs/>
          <w:sz w:val="22"/>
          <w:szCs w:val="22"/>
          <w:lang w:eastAsia="zh-CN"/>
        </w:rPr>
        <w:t>Coguvirus</w:t>
      </w:r>
      <w:proofErr w:type="spellEnd"/>
      <w:r w:rsidRPr="000927E0">
        <w:rPr>
          <w:rFonts w:ascii="Calibri" w:eastAsia="SimSun" w:hAnsi="Calibri" w:cs="SimSun"/>
          <w:sz w:val="22"/>
          <w:szCs w:val="22"/>
          <w:lang w:eastAsia="zh-CN"/>
        </w:rPr>
        <w:t xml:space="preserve"> (family </w:t>
      </w:r>
      <w:proofErr w:type="spellStart"/>
      <w:r w:rsidRPr="00712D9E">
        <w:rPr>
          <w:rFonts w:ascii="Calibri" w:eastAsia="SimSun" w:hAnsi="Calibri" w:cs="SimSun"/>
          <w:i/>
          <w:iCs/>
          <w:sz w:val="22"/>
          <w:szCs w:val="22"/>
          <w:lang w:eastAsia="zh-CN"/>
        </w:rPr>
        <w:t>Phenuiviridae</w:t>
      </w:r>
      <w:proofErr w:type="spellEnd"/>
      <w:r w:rsidRPr="000927E0">
        <w:rPr>
          <w:rFonts w:ascii="Calibri" w:eastAsia="SimSun" w:hAnsi="Calibri" w:cs="SimSun"/>
          <w:sz w:val="22"/>
          <w:szCs w:val="22"/>
          <w:lang w:eastAsia="zh-CN"/>
        </w:rPr>
        <w:t xml:space="preserve">). Arch </w:t>
      </w:r>
      <w:proofErr w:type="spellStart"/>
      <w:r w:rsidRPr="000927E0">
        <w:rPr>
          <w:rFonts w:ascii="Calibri" w:eastAsia="SimSun" w:hAnsi="Calibri" w:cs="SimSun"/>
          <w:sz w:val="22"/>
          <w:szCs w:val="22"/>
          <w:lang w:eastAsia="zh-CN"/>
        </w:rPr>
        <w:t>Virol</w:t>
      </w:r>
      <w:proofErr w:type="spellEnd"/>
      <w:r w:rsidRPr="000927E0">
        <w:rPr>
          <w:rFonts w:ascii="Calibri" w:eastAsia="SimSun" w:hAnsi="Calibri" w:cs="SimSun"/>
          <w:sz w:val="22"/>
          <w:szCs w:val="22"/>
          <w:lang w:eastAsia="zh-CN"/>
        </w:rPr>
        <w:t xml:space="preserve">. 166:2829-2834. </w:t>
      </w:r>
      <w:proofErr w:type="spellStart"/>
      <w:r w:rsidRPr="000927E0">
        <w:rPr>
          <w:rFonts w:ascii="Calibri" w:eastAsia="SimSun" w:hAnsi="Calibri" w:cs="SimSun"/>
          <w:sz w:val="22"/>
          <w:szCs w:val="22"/>
          <w:lang w:eastAsia="zh-CN"/>
        </w:rPr>
        <w:t>doi</w:t>
      </w:r>
      <w:proofErr w:type="spellEnd"/>
      <w:r w:rsidRPr="000927E0">
        <w:rPr>
          <w:rFonts w:ascii="Calibri" w:eastAsia="SimSun" w:hAnsi="Calibri" w:cs="SimSun"/>
          <w:sz w:val="22"/>
          <w:szCs w:val="22"/>
          <w:lang w:eastAsia="zh-CN"/>
        </w:rPr>
        <w:t>: 10.1007/s00705-021-05181-0.</w:t>
      </w:r>
    </w:p>
    <w:p w14:paraId="7AD51794" w14:textId="77777777" w:rsidR="00F33F57" w:rsidRPr="000927E0" w:rsidRDefault="00F33F57" w:rsidP="00494AAE">
      <w:pPr>
        <w:jc w:val="both"/>
      </w:pPr>
    </w:p>
    <w:p w14:paraId="574FE57D" w14:textId="77777777" w:rsidR="00A174CC" w:rsidRDefault="00A174CC" w:rsidP="00494AAE">
      <w:pPr>
        <w:jc w:val="both"/>
        <w:rPr>
          <w:rFonts w:ascii="Arial" w:hAnsi="Arial" w:cs="Arial"/>
          <w:b/>
          <w:sz w:val="22"/>
          <w:szCs w:val="22"/>
        </w:rPr>
      </w:pPr>
    </w:p>
    <w:p w14:paraId="2F23CF3E" w14:textId="77777777" w:rsidR="00A174CC" w:rsidRDefault="00A174CC" w:rsidP="00494AAE">
      <w:pPr>
        <w:jc w:val="both"/>
        <w:rPr>
          <w:rFonts w:ascii="Arial" w:hAnsi="Arial" w:cs="Arial"/>
          <w:b/>
          <w:sz w:val="22"/>
          <w:szCs w:val="22"/>
        </w:rPr>
      </w:pPr>
    </w:p>
    <w:p w14:paraId="0BD24768" w14:textId="77777777" w:rsidR="00A174CC" w:rsidRDefault="00A174CC" w:rsidP="00494AAE">
      <w:pPr>
        <w:jc w:val="both"/>
        <w:rPr>
          <w:rFonts w:ascii="Arial" w:hAnsi="Arial" w:cs="Arial"/>
          <w:b/>
          <w:sz w:val="22"/>
          <w:szCs w:val="22"/>
        </w:rPr>
      </w:pPr>
    </w:p>
    <w:p w14:paraId="1D0A1802" w14:textId="77777777" w:rsidR="00A174CC" w:rsidRDefault="00A174CC" w:rsidP="00494AAE">
      <w:pPr>
        <w:jc w:val="both"/>
        <w:rPr>
          <w:rFonts w:ascii="Arial" w:hAnsi="Arial" w:cs="Arial"/>
          <w:b/>
          <w:sz w:val="22"/>
          <w:szCs w:val="22"/>
        </w:rPr>
      </w:pPr>
    </w:p>
    <w:p w14:paraId="2747B32F" w14:textId="77777777" w:rsidR="00A174CC" w:rsidRDefault="00A174CC" w:rsidP="00494AAE">
      <w:pPr>
        <w:jc w:val="both"/>
        <w:rPr>
          <w:rFonts w:ascii="Arial" w:hAnsi="Arial" w:cs="Arial"/>
          <w:b/>
          <w:sz w:val="22"/>
          <w:szCs w:val="22"/>
        </w:rPr>
      </w:pPr>
    </w:p>
    <w:p w14:paraId="04B1DD3B" w14:textId="77777777" w:rsidR="00A174CC" w:rsidRDefault="00A174CC" w:rsidP="00494AAE">
      <w:pPr>
        <w:jc w:val="both"/>
        <w:rPr>
          <w:rFonts w:ascii="Arial" w:hAnsi="Arial" w:cs="Arial"/>
          <w:b/>
          <w:sz w:val="22"/>
          <w:szCs w:val="22"/>
        </w:rPr>
      </w:pPr>
    </w:p>
    <w:p w14:paraId="3680DB07" w14:textId="77777777" w:rsidR="00A174CC" w:rsidRDefault="00A174CC" w:rsidP="00494AAE">
      <w:pPr>
        <w:jc w:val="both"/>
        <w:rPr>
          <w:rFonts w:ascii="Arial" w:hAnsi="Arial" w:cs="Arial"/>
          <w:b/>
          <w:sz w:val="22"/>
          <w:szCs w:val="22"/>
        </w:rPr>
      </w:pPr>
    </w:p>
    <w:p w14:paraId="085F7709" w14:textId="77777777" w:rsidR="00A174CC" w:rsidRDefault="00A174CC" w:rsidP="00494AAE">
      <w:pPr>
        <w:jc w:val="both"/>
        <w:rPr>
          <w:rFonts w:ascii="Arial" w:hAnsi="Arial" w:cs="Arial"/>
          <w:b/>
          <w:sz w:val="22"/>
          <w:szCs w:val="22"/>
        </w:rPr>
      </w:pPr>
    </w:p>
    <w:p w14:paraId="5556E8C1" w14:textId="7AF64E50" w:rsidR="00A174CC" w:rsidRDefault="00A174CC" w:rsidP="00494AAE">
      <w:pPr>
        <w:jc w:val="both"/>
      </w:pPr>
    </w:p>
    <w:sectPr w:rsidR="00A174CC">
      <w:headerReference w:type="default" r:id="rId20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7204" w14:textId="77777777" w:rsidR="0076038D" w:rsidRDefault="0076038D">
      <w:r>
        <w:separator/>
      </w:r>
    </w:p>
  </w:endnote>
  <w:endnote w:type="continuationSeparator" w:id="0">
    <w:p w14:paraId="5609C3B0" w14:textId="77777777" w:rsidR="0076038D" w:rsidRDefault="0076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-Italic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FF69" w14:textId="77777777" w:rsidR="0076038D" w:rsidRDefault="0076038D">
      <w:r>
        <w:separator/>
      </w:r>
    </w:p>
  </w:footnote>
  <w:footnote w:type="continuationSeparator" w:id="0">
    <w:p w14:paraId="2DD6DB93" w14:textId="77777777" w:rsidR="0076038D" w:rsidRDefault="00760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C64B5"/>
    <w:rsid w:val="000F51F4"/>
    <w:rsid w:val="000F7067"/>
    <w:rsid w:val="0013113D"/>
    <w:rsid w:val="00186721"/>
    <w:rsid w:val="001B6E0C"/>
    <w:rsid w:val="001C22C0"/>
    <w:rsid w:val="001E7A4A"/>
    <w:rsid w:val="002B646C"/>
    <w:rsid w:val="002D7BE9"/>
    <w:rsid w:val="00306250"/>
    <w:rsid w:val="0037243A"/>
    <w:rsid w:val="00381C07"/>
    <w:rsid w:val="003B0B34"/>
    <w:rsid w:val="003B4E7D"/>
    <w:rsid w:val="004034B6"/>
    <w:rsid w:val="0043110C"/>
    <w:rsid w:val="00437970"/>
    <w:rsid w:val="00494AAE"/>
    <w:rsid w:val="004D3B95"/>
    <w:rsid w:val="004F3196"/>
    <w:rsid w:val="00514311"/>
    <w:rsid w:val="00525293"/>
    <w:rsid w:val="00543F86"/>
    <w:rsid w:val="00545D25"/>
    <w:rsid w:val="00565E0C"/>
    <w:rsid w:val="00572B93"/>
    <w:rsid w:val="005A54C3"/>
    <w:rsid w:val="005B6401"/>
    <w:rsid w:val="0065470F"/>
    <w:rsid w:val="00712D9E"/>
    <w:rsid w:val="0076038D"/>
    <w:rsid w:val="00812DCB"/>
    <w:rsid w:val="00817BC2"/>
    <w:rsid w:val="00844D90"/>
    <w:rsid w:val="008815EE"/>
    <w:rsid w:val="008E1897"/>
    <w:rsid w:val="009431F3"/>
    <w:rsid w:val="0099513A"/>
    <w:rsid w:val="009B65CC"/>
    <w:rsid w:val="009C6F50"/>
    <w:rsid w:val="00A174CC"/>
    <w:rsid w:val="00A2357C"/>
    <w:rsid w:val="00A47ABC"/>
    <w:rsid w:val="00A748DF"/>
    <w:rsid w:val="00AD759B"/>
    <w:rsid w:val="00B2735D"/>
    <w:rsid w:val="00B313B3"/>
    <w:rsid w:val="00B35CC8"/>
    <w:rsid w:val="00B47589"/>
    <w:rsid w:val="00B634A6"/>
    <w:rsid w:val="00BA5D87"/>
    <w:rsid w:val="00BC0C53"/>
    <w:rsid w:val="00D00F18"/>
    <w:rsid w:val="00D232F5"/>
    <w:rsid w:val="00D27CDB"/>
    <w:rsid w:val="00D44E5E"/>
    <w:rsid w:val="00D560D3"/>
    <w:rsid w:val="00E034BE"/>
    <w:rsid w:val="00F33F57"/>
    <w:rsid w:val="00F74A3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qFormat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qFormat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3F57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B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5470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navarro@ipsp.cnr.it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doi.org/10.1007/s00705-021-05087-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francesco.diserio@ipsp.cnr.it" TargetMode="External"/><Relationship Id="rId19" Type="http://schemas.openxmlformats.org/officeDocument/2006/relationships/hyperlink" Target="https://doi.org/10.1007/s00705-021-05031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torio.nicoloso@ipsp.cnr.it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1301</Words>
  <Characters>7418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Kuhn, Jens (NIH/NIAID) [C]</cp:lastModifiedBy>
  <cp:revision>4</cp:revision>
  <dcterms:created xsi:type="dcterms:W3CDTF">2023-07-29T14:11:00Z</dcterms:created>
  <dcterms:modified xsi:type="dcterms:W3CDTF">2023-10-23T17:41:00Z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