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  <w:lang w:val="it-IT" w:eastAsia="it-IT"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66040E62" w:rsidR="00A174CC" w:rsidRDefault="0035490D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2022.005M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572190B4" w:rsidR="00A174CC" w:rsidRPr="000A146A" w:rsidRDefault="008815EE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02326E" w:rsidRPr="00547987">
              <w:rPr>
                <w:rFonts w:ascii="Arial" w:hAnsi="Arial" w:cs="Arial"/>
                <w:sz w:val="20"/>
                <w:szCs w:val="20"/>
              </w:rPr>
              <w:t xml:space="preserve">Create two new species in genus </w:t>
            </w:r>
            <w:r w:rsidR="0002326E" w:rsidRPr="00547987">
              <w:rPr>
                <w:rFonts w:ascii="Arial" w:hAnsi="Arial" w:cs="Arial"/>
                <w:i/>
                <w:sz w:val="20"/>
                <w:szCs w:val="20"/>
              </w:rPr>
              <w:t>Coguvirus</w:t>
            </w:r>
            <w:r w:rsidR="0002326E" w:rsidRPr="0054798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2326E" w:rsidRPr="00547987">
              <w:rPr>
                <w:rFonts w:ascii="Arial" w:hAnsi="Arial" w:cs="Arial"/>
                <w:i/>
                <w:sz w:val="20"/>
                <w:szCs w:val="20"/>
              </w:rPr>
              <w:t>Bunyavirales</w:t>
            </w:r>
            <w:r w:rsidR="0002326E" w:rsidRPr="00547987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="0002326E" w:rsidRPr="00547987">
              <w:rPr>
                <w:rFonts w:ascii="Arial" w:hAnsi="Arial" w:cs="Arial"/>
                <w:i/>
                <w:sz w:val="20"/>
                <w:szCs w:val="20"/>
              </w:rPr>
              <w:t xml:space="preserve"> Phenuiviridae</w:t>
            </w:r>
            <w:r w:rsidR="0002326E" w:rsidRPr="0054798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:rsidRPr="005A43B7" w14:paraId="67E4419A" w14:textId="77777777" w:rsidTr="0002326E">
        <w:tc>
          <w:tcPr>
            <w:tcW w:w="4368" w:type="dxa"/>
            <w:shd w:val="clear" w:color="auto" w:fill="auto"/>
          </w:tcPr>
          <w:p w14:paraId="5B4DA008" w14:textId="17FC4899" w:rsidR="00A174CC" w:rsidRPr="0002326E" w:rsidRDefault="0002326E" w:rsidP="00547987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547987">
              <w:rPr>
                <w:rFonts w:ascii="Arial" w:hAnsi="Arial" w:cs="Arial"/>
                <w:sz w:val="22"/>
                <w:szCs w:val="22"/>
                <w:lang w:val="it-IT"/>
              </w:rPr>
              <w:t xml:space="preserve">Cao M, </w:t>
            </w:r>
            <w:r w:rsidRPr="00547987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Zhang S, Tian X,</w:t>
            </w:r>
            <w:r w:rsidRPr="00547987">
              <w:rPr>
                <w:rFonts w:ascii="Arial" w:hAnsi="Arial" w:cs="Arial"/>
                <w:sz w:val="22"/>
                <w:szCs w:val="22"/>
                <w:lang w:val="it-IT"/>
              </w:rPr>
              <w:t xml:space="preserve"> Navarro B, Di Serio F</w:t>
            </w:r>
          </w:p>
        </w:tc>
        <w:tc>
          <w:tcPr>
            <w:tcW w:w="4704" w:type="dxa"/>
            <w:shd w:val="clear" w:color="auto" w:fill="auto"/>
          </w:tcPr>
          <w:p w14:paraId="3390BDC1" w14:textId="14D9B9A3" w:rsidR="00547987" w:rsidRPr="00547987" w:rsidRDefault="00547987" w:rsidP="00547987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5490D">
              <w:rPr>
                <w:rFonts w:ascii="Arial" w:hAnsi="Arial" w:cs="Arial"/>
                <w:sz w:val="22"/>
                <w:szCs w:val="22"/>
                <w:lang w:val="it-IT"/>
              </w:rPr>
              <w:t>caomengji@cric.cn</w:t>
            </w:r>
            <w:r w:rsidRPr="00547987">
              <w:rPr>
                <w:rFonts w:ascii="Arial" w:hAnsi="Arial" w:cs="Arial"/>
                <w:sz w:val="22"/>
                <w:szCs w:val="22"/>
                <w:lang w:val="it-IT"/>
              </w:rPr>
              <w:t>;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4C0145EC" w14:textId="687F19BF" w:rsidR="00A174CC" w:rsidRPr="0002326E" w:rsidRDefault="00547987" w:rsidP="00547987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5490D">
              <w:rPr>
                <w:rFonts w:ascii="Arial" w:hAnsi="Arial" w:cs="Arial"/>
                <w:sz w:val="22"/>
                <w:szCs w:val="22"/>
                <w:lang w:val="it-IT"/>
              </w:rPr>
              <w:t>qq371260@email.swu.edu.cn</w:t>
            </w:r>
            <w:r w:rsidRPr="00547987">
              <w:rPr>
                <w:rFonts w:ascii="Arial" w:hAnsi="Arial" w:cs="Arial"/>
                <w:sz w:val="22"/>
                <w:szCs w:val="22"/>
                <w:lang w:val="it-IT"/>
              </w:rPr>
              <w:t>;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35490D">
              <w:rPr>
                <w:rFonts w:ascii="Arial" w:hAnsi="Arial" w:cs="Arial"/>
                <w:sz w:val="22"/>
                <w:szCs w:val="22"/>
                <w:lang w:val="it-IT"/>
              </w:rPr>
              <w:t>395485918@qq.com</w:t>
            </w:r>
            <w:r w:rsidRPr="00547987">
              <w:rPr>
                <w:rFonts w:ascii="Arial" w:hAnsi="Arial" w:cs="Arial"/>
                <w:sz w:val="22"/>
                <w:szCs w:val="22"/>
                <w:lang w:val="it-IT"/>
              </w:rPr>
              <w:t>;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35490D">
              <w:rPr>
                <w:rFonts w:ascii="Arial" w:hAnsi="Arial" w:cs="Arial"/>
                <w:sz w:val="22"/>
                <w:szCs w:val="22"/>
                <w:lang w:val="it-IT"/>
              </w:rPr>
              <w:t>beatriz.navarro@ipsp.cnr.it</w:t>
            </w:r>
            <w:r w:rsidRPr="00547987">
              <w:rPr>
                <w:rFonts w:ascii="Arial" w:hAnsi="Arial" w:cs="Arial"/>
                <w:sz w:val="22"/>
                <w:szCs w:val="22"/>
                <w:lang w:val="it-IT"/>
              </w:rPr>
              <w:t>;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35490D">
              <w:rPr>
                <w:rFonts w:ascii="Arial" w:hAnsi="Arial" w:cs="Arial"/>
                <w:sz w:val="22"/>
                <w:szCs w:val="22"/>
                <w:lang w:val="it-IT"/>
              </w:rPr>
              <w:t>francesco.diserio@ipsp.cnr.it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</w:tc>
      </w:tr>
    </w:tbl>
    <w:p w14:paraId="66BE9775" w14:textId="3DF0E370" w:rsidR="00A174CC" w:rsidRPr="0002326E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:rsidRPr="005A43B7" w14:paraId="3467A41D" w14:textId="77777777">
        <w:tc>
          <w:tcPr>
            <w:tcW w:w="9072" w:type="dxa"/>
            <w:shd w:val="clear" w:color="auto" w:fill="auto"/>
          </w:tcPr>
          <w:p w14:paraId="1033F5C1" w14:textId="7ECFF207" w:rsidR="00A174CC" w:rsidRPr="0002326E" w:rsidRDefault="0002326E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96EE3">
              <w:rPr>
                <w:rFonts w:ascii="Arial" w:hAnsi="Arial" w:cs="Arial"/>
                <w:sz w:val="22"/>
                <w:szCs w:val="22"/>
                <w:lang w:val="it-IT"/>
              </w:rPr>
              <w:t>Southwest University, Beibei, China 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MC; SZ, XT];</w:t>
            </w:r>
            <w:r w:rsidRPr="00F96EE3">
              <w:rPr>
                <w:rFonts w:ascii="Arial" w:hAnsi="Arial" w:cs="Arial"/>
                <w:sz w:val="22"/>
                <w:szCs w:val="22"/>
                <w:lang w:val="it-IT"/>
              </w:rPr>
              <w:t xml:space="preserve"> Istituto per la Protezione Sostenibile delle Piante, CNR, Italy [FDS, BN]</w:t>
            </w: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4C27976B" w:rsidR="00A174CC" w:rsidRDefault="000232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 Serio</w:t>
            </w:r>
            <w:r w:rsidR="00547987">
              <w:rPr>
                <w:rFonts w:ascii="Arial" w:hAnsi="Arial" w:cs="Arial"/>
                <w:sz w:val="22"/>
                <w:szCs w:val="22"/>
              </w:rPr>
              <w:t xml:space="preserve"> F</w:t>
            </w: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208F33A9" w14:textId="0D15AD8A" w:rsidR="00A174CC" w:rsidRDefault="005479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ICTV </w:t>
            </w:r>
            <w:r w:rsidRPr="00547987">
              <w:rPr>
                <w:rFonts w:ascii="Arial" w:hAnsi="Arial" w:cs="Arial"/>
                <w:i/>
                <w:iCs/>
                <w:sz w:val="22"/>
                <w:szCs w:val="22"/>
              </w:rPr>
              <w:t>Phenuiviridae</w:t>
            </w:r>
            <w:r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</w:tc>
      </w:tr>
    </w:tbl>
    <w:p w14:paraId="0D538D50" w14:textId="060AB2F9" w:rsidR="00A174CC" w:rsidRPr="0002326E" w:rsidRDefault="008815EE" w:rsidP="0002326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073E55EA" w14:textId="3B114AC5" w:rsidR="00A174CC" w:rsidRDefault="00547987" w:rsidP="005479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Approved.</w:t>
            </w:r>
          </w:p>
        </w:tc>
      </w:tr>
    </w:tbl>
    <w:p w14:paraId="4B508B7C" w14:textId="68B34575" w:rsidR="0037243A" w:rsidRPr="0002326E" w:rsidRDefault="0037243A" w:rsidP="0002326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040283DA" w:rsidR="0037243A" w:rsidRDefault="00547987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ICTV </w:t>
            </w:r>
            <w:r w:rsidRPr="00547987">
              <w:rPr>
                <w:rFonts w:ascii="Arial" w:hAnsi="Arial" w:cs="Arial"/>
                <w:i/>
                <w:iCs/>
                <w:sz w:val="22"/>
                <w:szCs w:val="22"/>
              </w:rPr>
              <w:t>Phenuiviridae</w:t>
            </w:r>
            <w:r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</w:tc>
        <w:tc>
          <w:tcPr>
            <w:tcW w:w="1984" w:type="dxa"/>
            <w:shd w:val="clear" w:color="auto" w:fill="auto"/>
          </w:tcPr>
          <w:p w14:paraId="080F51E8" w14:textId="6F88EEB3" w:rsidR="0037243A" w:rsidRDefault="00547987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14:paraId="4EC5D82B" w14:textId="733A452E" w:rsidR="0037243A" w:rsidRDefault="00547987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23732184" w14:textId="1D7CF52B" w:rsidR="0037243A" w:rsidRDefault="00547987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5489B35F" w14:textId="7A0FA2C0" w:rsidR="00A174CC" w:rsidRPr="0002326E" w:rsidRDefault="008815EE" w:rsidP="0002326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4B407CDA" w:rsidR="00A174CC" w:rsidRPr="000A146A" w:rsidRDefault="005479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979A875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5491403E" w:rsidR="00A174CC" w:rsidRDefault="005479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 27, 2022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F52469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>
        <w:trPr>
          <w:trHeight w:val="4290"/>
        </w:trPr>
        <w:tc>
          <w:tcPr>
            <w:tcW w:w="9072" w:type="dxa"/>
            <w:shd w:val="clear" w:color="auto" w:fill="auto"/>
          </w:tcPr>
          <w:p w14:paraId="6EB42557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55BF141F" w14:textId="77777777" w:rsidR="00A174CC" w:rsidRDefault="00A174CC"/>
    <w:p w14:paraId="1E73CFEA" w14:textId="77777777" w:rsidR="00A174CC" w:rsidRDefault="008815EE">
      <w:r>
        <w:br w:type="page"/>
      </w:r>
    </w:p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1692A2DA" w:rsidR="00A174CC" w:rsidRDefault="00C61BF8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61BF8">
              <w:rPr>
                <w:rFonts w:ascii="Arial" w:hAnsi="Arial" w:cs="Arial"/>
                <w:bCs/>
                <w:sz w:val="22"/>
                <w:szCs w:val="22"/>
              </w:rPr>
              <w:t>2022.0</w:t>
            </w:r>
            <w:r w:rsidR="0035490D">
              <w:rPr>
                <w:rFonts w:ascii="Arial" w:hAnsi="Arial" w:cs="Arial"/>
                <w:bCs/>
                <w:sz w:val="22"/>
                <w:szCs w:val="22"/>
              </w:rPr>
              <w:t>05</w:t>
            </w:r>
            <w:r w:rsidRPr="00C61BF8">
              <w:rPr>
                <w:rFonts w:ascii="Arial" w:hAnsi="Arial" w:cs="Arial"/>
                <w:bCs/>
                <w:sz w:val="22"/>
                <w:szCs w:val="22"/>
              </w:rPr>
              <w:t>M.N.v1.Coguvirus_2nsp</w:t>
            </w:r>
            <w:r w:rsidR="0035490D">
              <w:rPr>
                <w:rFonts w:ascii="Arial" w:hAnsi="Arial" w:cs="Arial"/>
                <w:bCs/>
                <w:sz w:val="22"/>
                <w:szCs w:val="22"/>
              </w:rPr>
              <w:t>.xls</w:t>
            </w:r>
            <w:r w:rsidR="004954E4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</w:tbl>
    <w:p w14:paraId="70690697" w14:textId="5BC85F64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2AB201D8" w14:textId="5BF729CD" w:rsidR="00A174CC" w:rsidRPr="0002326E" w:rsidRDefault="0002326E" w:rsidP="0002326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B80CB3">
              <w:rPr>
                <w:rFonts w:ascii="Arial" w:hAnsi="Arial" w:cs="Arial"/>
                <w:sz w:val="22"/>
                <w:szCs w:val="22"/>
              </w:rPr>
              <w:t>atermelon crinkle leaf-associated virus 1 (WCLaV-1) and watermelon crinkle leaf-associated virus 2</w:t>
            </w:r>
            <w:r>
              <w:rPr>
                <w:rFonts w:ascii="Arial" w:hAnsi="Arial" w:cs="Arial"/>
                <w:sz w:val="22"/>
                <w:szCs w:val="22"/>
              </w:rPr>
              <w:t xml:space="preserve"> (WCLaV-2) fulfil</w:t>
            </w:r>
            <w:r w:rsidR="00C024CC"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 xml:space="preserve"> the criteria (based on biological, molecular, and phylogenetic analyses) to be classified in genus </w:t>
            </w:r>
            <w:r w:rsidRPr="003F1B75">
              <w:rPr>
                <w:rFonts w:ascii="Arial" w:hAnsi="Arial" w:cs="Arial"/>
                <w:i/>
                <w:sz w:val="22"/>
                <w:szCs w:val="22"/>
              </w:rPr>
              <w:t>Coguvirus</w:t>
            </w:r>
            <w:r>
              <w:rPr>
                <w:rFonts w:ascii="Arial" w:hAnsi="Arial" w:cs="Arial"/>
                <w:sz w:val="22"/>
                <w:szCs w:val="22"/>
              </w:rPr>
              <w:t xml:space="preserve"> (family </w:t>
            </w:r>
            <w:r w:rsidRPr="003F1B75">
              <w:rPr>
                <w:rFonts w:ascii="Arial" w:hAnsi="Arial" w:cs="Arial"/>
                <w:i/>
                <w:sz w:val="22"/>
                <w:szCs w:val="22"/>
              </w:rPr>
              <w:t>Phenuiviridae</w:t>
            </w:r>
            <w:r>
              <w:rPr>
                <w:rFonts w:ascii="Arial" w:hAnsi="Arial" w:cs="Arial"/>
                <w:sz w:val="22"/>
                <w:szCs w:val="22"/>
              </w:rPr>
              <w:t>) as representative members of two novel species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Here, it</w:t>
            </w:r>
            <w:r w:rsidRPr="003F1B75">
              <w:rPr>
                <w:rFonts w:ascii="Arial" w:hAnsi="Arial" w:cs="Arial"/>
                <w:sz w:val="22"/>
                <w:szCs w:val="22"/>
              </w:rPr>
              <w:t xml:space="preserve"> is proposed to </w:t>
            </w:r>
            <w:r>
              <w:rPr>
                <w:rFonts w:ascii="Arial" w:hAnsi="Arial" w:cs="Arial"/>
                <w:sz w:val="22"/>
                <w:szCs w:val="22"/>
              </w:rPr>
              <w:t xml:space="preserve">create the species </w:t>
            </w:r>
            <w:r w:rsidRPr="00B80CB3">
              <w:rPr>
                <w:rFonts w:ascii="Arial" w:hAnsi="Arial" w:cs="Arial"/>
                <w:i/>
                <w:sz w:val="22"/>
              </w:rPr>
              <w:t xml:space="preserve">Coguvirus </w:t>
            </w:r>
            <w:r>
              <w:rPr>
                <w:rFonts w:ascii="Arial" w:hAnsi="Arial" w:cs="Arial"/>
                <w:i/>
                <w:sz w:val="22"/>
              </w:rPr>
              <w:t xml:space="preserve">citrulli </w:t>
            </w:r>
            <w:r w:rsidRPr="00B80CB3">
              <w:rPr>
                <w:rFonts w:ascii="Arial" w:hAnsi="Arial" w:cs="Arial"/>
                <w:i/>
                <w:sz w:val="22"/>
              </w:rPr>
              <w:t xml:space="preserve">and Coguvirus </w:t>
            </w:r>
            <w:r>
              <w:rPr>
                <w:rFonts w:ascii="Arial" w:hAnsi="Arial" w:cs="Arial"/>
                <w:i/>
                <w:sz w:val="22"/>
              </w:rPr>
              <w:t>henan</w:t>
            </w:r>
            <w:r w:rsidR="00D1275B">
              <w:rPr>
                <w:rFonts w:ascii="Arial" w:hAnsi="Arial" w:cs="Arial"/>
                <w:i/>
                <w:sz w:val="22"/>
              </w:rPr>
              <w:t>ense</w:t>
            </w:r>
            <w:r>
              <w:rPr>
                <w:rFonts w:ascii="Arial" w:hAnsi="Arial" w:cs="Arial"/>
                <w:sz w:val="22"/>
              </w:rPr>
              <w:t xml:space="preserve"> to classify WCLaV-1 and WCLaV-2, </w:t>
            </w:r>
            <w:r w:rsidRPr="003F1B75">
              <w:rPr>
                <w:rFonts w:ascii="Arial" w:hAnsi="Arial" w:cs="Arial"/>
                <w:sz w:val="22"/>
              </w:rPr>
              <w:t>respectively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6E1403AC" w14:textId="77777777" w:rsidR="0002326E" w:rsidRDefault="0002326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5FC8EFB5" w14:textId="5CF640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p w14:paraId="3F2A00F5" w14:textId="6380BD97" w:rsidR="00A174CC" w:rsidRDefault="00A174CC" w:rsidP="0002326E">
            <w:pPr>
              <w:pStyle w:val="BodyTextIndent"/>
              <w:spacing w:after="120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</w:p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7E29FE94" w14:textId="337AC1EF" w:rsidR="0002326E" w:rsidRPr="00C024CC" w:rsidRDefault="0002326E" w:rsidP="0002326E">
                  <w:pPr>
                    <w:pStyle w:val="BodyTextIndent"/>
                    <w:ind w:left="0" w:firstLine="0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B80CB3">
                    <w:rPr>
                      <w:rFonts w:ascii="Arial" w:hAnsi="Arial" w:cs="Arial"/>
                      <w:sz w:val="22"/>
                      <w:szCs w:val="22"/>
                    </w:rPr>
                    <w:t xml:space="preserve">Watermelon crinkle leaf-associated virus 1 (WCLaV-1) and watermelon crinkle leaf-associated virus 2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(WCLaV-2) </w:t>
                  </w:r>
                  <w:r w:rsidRPr="00B80CB3">
                    <w:rPr>
                      <w:rFonts w:ascii="Arial" w:hAnsi="Arial" w:cs="Arial"/>
                      <w:sz w:val="22"/>
                      <w:szCs w:val="22"/>
                    </w:rPr>
                    <w:t xml:space="preserve">have been recently identified in watermelon plants </w:t>
                  </w:r>
                  <w:r w:rsidR="00C024CC">
                    <w:rPr>
                      <w:rFonts w:ascii="Arial" w:hAnsi="Arial" w:cs="Arial"/>
                      <w:sz w:val="22"/>
                      <w:szCs w:val="22"/>
                    </w:rPr>
                    <w:t>(</w:t>
                  </w:r>
                  <w:r w:rsidRPr="00B80CB3">
                    <w:rPr>
                      <w:rFonts w:ascii="Arial" w:hAnsi="Arial" w:cs="Arial"/>
                      <w:i/>
                      <w:sz w:val="22"/>
                      <w:szCs w:val="22"/>
                    </w:rPr>
                    <w:t>Citrullus lanatus</w:t>
                  </w:r>
                  <w:r w:rsidRPr="00B80CB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0CB3">
                    <w:rPr>
                      <w:rFonts w:ascii="Arial" w:hAnsi="Arial" w:cs="Arial"/>
                      <w:spacing w:val="8"/>
                      <w:sz w:val="21"/>
                      <w:szCs w:val="21"/>
                      <w:shd w:val="clear" w:color="auto" w:fill="FFFFFF"/>
                    </w:rPr>
                    <w:t>(Thunb.) Matsum. &amp; Nakai, 1916</w:t>
                  </w:r>
                  <w:r w:rsidR="00C024CC">
                    <w:rPr>
                      <w:rFonts w:ascii="Arial" w:hAnsi="Arial" w:cs="Arial"/>
                      <w:spacing w:val="8"/>
                      <w:sz w:val="21"/>
                      <w:szCs w:val="21"/>
                      <w:shd w:val="clear" w:color="auto" w:fill="FFFFFF"/>
                    </w:rPr>
                    <w:t>)</w:t>
                  </w:r>
                  <w:r w:rsidRPr="00B80CB3">
                    <w:rPr>
                      <w:rFonts w:ascii="Arial" w:hAnsi="Arial" w:cs="Arial"/>
                      <w:sz w:val="22"/>
                      <w:szCs w:val="22"/>
                    </w:rPr>
                    <w:t xml:space="preserve"> in China. They were reported as negative</w:t>
                  </w:r>
                  <w:r w:rsidR="00C024CC">
                    <w:rPr>
                      <w:rFonts w:ascii="Arial" w:hAnsi="Arial" w:cs="Arial"/>
                      <w:sz w:val="22"/>
                      <w:szCs w:val="22"/>
                    </w:rPr>
                    <w:t xml:space="preserve">-sense </w:t>
                  </w:r>
                  <w:r w:rsidRPr="00B80CB3">
                    <w:rPr>
                      <w:rFonts w:ascii="Arial" w:hAnsi="Arial" w:cs="Arial"/>
                      <w:sz w:val="22"/>
                      <w:szCs w:val="22"/>
                    </w:rPr>
                    <w:t xml:space="preserve">RNA viruses with a genome composed of three segments (Xin et al., 2017) coding for one protein each. The putative </w:t>
                  </w:r>
                  <w:r w:rsidR="00C024CC">
                    <w:rPr>
                      <w:rFonts w:ascii="Arial" w:hAnsi="Arial" w:cs="Arial"/>
                      <w:sz w:val="22"/>
                      <w:szCs w:val="22"/>
                    </w:rPr>
                    <w:t xml:space="preserve">large protein (L) containing the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RNA-</w:t>
                  </w:r>
                  <w:r w:rsidR="00C024CC">
                    <w:rPr>
                      <w:rFonts w:ascii="Arial" w:hAnsi="Arial" w:cs="Arial"/>
                      <w:sz w:val="22"/>
                      <w:szCs w:val="22"/>
                    </w:rPr>
                    <w:t>directed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RNA polymerase (</w:t>
                  </w:r>
                  <w:r w:rsidRPr="00B80CB3">
                    <w:rPr>
                      <w:rFonts w:ascii="Arial" w:hAnsi="Arial" w:cs="Arial"/>
                      <w:sz w:val="22"/>
                      <w:szCs w:val="22"/>
                    </w:rPr>
                    <w:t>RdRp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  <w:r w:rsidR="00C024CC">
                    <w:rPr>
                      <w:rFonts w:ascii="Arial" w:hAnsi="Arial" w:cs="Arial"/>
                      <w:sz w:val="22"/>
                      <w:szCs w:val="22"/>
                    </w:rPr>
                    <w:t xml:space="preserve"> domain</w:t>
                  </w:r>
                  <w:r w:rsidRPr="00B80CB3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movement protein (</w:t>
                  </w:r>
                  <w:r w:rsidRPr="00B80CB3">
                    <w:rPr>
                      <w:rFonts w:ascii="Arial" w:hAnsi="Arial" w:cs="Arial"/>
                      <w:sz w:val="22"/>
                      <w:szCs w:val="22"/>
                    </w:rPr>
                    <w:t>MP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  <w:r w:rsidRPr="00B80CB3">
                    <w:rPr>
                      <w:rFonts w:ascii="Arial" w:hAnsi="Arial" w:cs="Arial"/>
                      <w:sz w:val="22"/>
                      <w:szCs w:val="22"/>
                    </w:rPr>
                    <w:t xml:space="preserve"> and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nucleocapsid protein (</w:t>
                  </w:r>
                  <w:r w:rsidRPr="00B80CB3">
                    <w:rPr>
                      <w:rFonts w:ascii="Arial" w:hAnsi="Arial" w:cs="Arial"/>
                      <w:sz w:val="22"/>
                      <w:szCs w:val="22"/>
                    </w:rPr>
                    <w:t>NP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  <w:r w:rsidRPr="00B80CB3">
                    <w:rPr>
                      <w:rFonts w:ascii="Arial" w:hAnsi="Arial" w:cs="Arial"/>
                      <w:sz w:val="22"/>
                      <w:szCs w:val="22"/>
                    </w:rPr>
                    <w:t xml:space="preserve"> encoded by WCLaV-1 and WCLaV-2 share </w:t>
                  </w:r>
                  <w:r w:rsidRPr="00B80CB3">
                    <w:rPr>
                      <w:rFonts w:ascii="Arial" w:hAnsi="Arial" w:cs="Arial"/>
                      <w:color w:val="000000"/>
                      <w:szCs w:val="24"/>
                    </w:rPr>
                    <w:t>58.8%, 44.6%</w:t>
                  </w:r>
                  <w:r w:rsidR="00C024CC">
                    <w:rPr>
                      <w:rFonts w:ascii="Arial" w:hAnsi="Arial" w:cs="Arial"/>
                      <w:color w:val="000000"/>
                      <w:szCs w:val="24"/>
                    </w:rPr>
                    <w:t>,</w:t>
                  </w:r>
                  <w:r w:rsidRPr="00B80CB3">
                    <w:rPr>
                      <w:rFonts w:ascii="Arial" w:hAnsi="Arial" w:cs="Arial"/>
                      <w:color w:val="000000"/>
                      <w:szCs w:val="24"/>
                    </w:rPr>
                    <w:t xml:space="preserve"> and 46.7% with each other, respectively.</w:t>
                  </w:r>
                  <w:r w:rsidRPr="00B80CB3">
                    <w:rPr>
                      <w:rFonts w:ascii="Arial" w:hAnsi="Arial" w:cs="Arial"/>
                      <w:sz w:val="22"/>
                      <w:szCs w:val="22"/>
                    </w:rPr>
                    <w:t xml:space="preserve"> The proteins encoded by these viruses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share</w:t>
                  </w:r>
                  <w:r w:rsidRPr="00B80CB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0CB3">
                    <w:rPr>
                      <w:rFonts w:ascii="Arial" w:hAnsi="Arial" w:cs="Arial"/>
                      <w:color w:val="000000"/>
                      <w:szCs w:val="24"/>
                    </w:rPr>
                    <w:t xml:space="preserve">the highest amino acid (aa) sequence identity (ranging from 39.7% to 62.9%) with </w:t>
                  </w:r>
                  <w:r w:rsidRPr="00B80CB3">
                    <w:rPr>
                      <w:rFonts w:ascii="Arial" w:hAnsi="Arial" w:cs="Arial"/>
                      <w:sz w:val="22"/>
                      <w:szCs w:val="22"/>
                    </w:rPr>
                    <w:t>citrus concave gum-associated virus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0CB3">
                    <w:rPr>
                      <w:rFonts w:ascii="Arial" w:hAnsi="Arial" w:cs="Arial"/>
                      <w:sz w:val="22"/>
                      <w:szCs w:val="22"/>
                    </w:rPr>
                    <w:t>(CCGaV) and citrus virus A (</w:t>
                  </w:r>
                  <w:r w:rsidRPr="00FF492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CiVA), the two current members of the </w:t>
                  </w:r>
                  <w:r w:rsidR="00C024C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phenuivirid </w:t>
                  </w:r>
                  <w:r w:rsidRPr="00FF492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genus </w:t>
                  </w:r>
                  <w:r w:rsidRPr="00FF4923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Coguvirus</w:t>
                  </w:r>
                  <w:r w:rsidRPr="00FF492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(Navarro et al., 2018a; 2018b). Recently</w:t>
                  </w:r>
                  <w:r w:rsidR="00C024C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</w:t>
                  </w:r>
                  <w:r w:rsidRPr="00FF492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 reassessment of the full genome sequence</w:t>
                  </w:r>
                  <w:r w:rsidR="00C024C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</w:t>
                  </w:r>
                  <w:r w:rsidRPr="00FF492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of WCLaV-1 and WCLaV-2 provided evidence that these viruses are </w:t>
                  </w:r>
                  <w:proofErr w:type="gramStart"/>
                  <w:r w:rsidRPr="00FF492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actually bipartite</w:t>
                  </w:r>
                  <w:proofErr w:type="gramEnd"/>
                  <w:r w:rsidRPr="00FF492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viruses with RNA1 encoding the putative </w:t>
                  </w:r>
                  <w:r w:rsidR="00C024C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L</w:t>
                  </w:r>
                  <w:r w:rsidRPr="00FF492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C024CC" w:rsidRPr="00FF492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="00C024C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GenBank #</w:t>
                  </w:r>
                  <w:r w:rsidR="00C024CC" w:rsidRPr="00FF492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MW842780 and MW842781 for WCLaV-1 and WCLaV-2, respectively) </w:t>
                  </w:r>
                  <w:r w:rsidRPr="00FF492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and RNA 2 containing two open reading frames (ORFs) in </w:t>
                  </w:r>
                  <w:r w:rsidR="00C024C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ambisense</w:t>
                  </w:r>
                  <w:r w:rsidRPr="00FF492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orientation</w:t>
                  </w:r>
                  <w:r w:rsidR="00C024C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en</w:t>
                  </w:r>
                  <w:r w:rsidRPr="00FF492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coding the putative MP and NP</w:t>
                  </w:r>
                  <w:r w:rsidR="00C024C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C024CC" w:rsidRPr="00FF492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="00C024C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GenBank #</w:t>
                  </w:r>
                  <w:r w:rsidR="00C024CC" w:rsidRPr="00FF492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MW751425 and MW751424 for WCLaV-1 and WCLaV-2, respectively)</w:t>
                  </w:r>
                  <w:r w:rsidRPr="00FF492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 In both WCLaV1 and WCLaV2, the two ORFs </w:t>
                  </w:r>
                  <w:r w:rsidR="00C024C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of</w:t>
                  </w:r>
                  <w:r w:rsidRPr="00FF492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RNA2 are separated by an AU-rich intergenic region (IR) adopting a hairpin conformation. This genomic organization is identical to that of CCGaV and CiVA (Navarro et al., 2018a; 2018b), with which WCLaV-1 and WCLaV-2 also share almost identical terminal ends (up to 15 nt) of the genomic fragments. Maximum likelihood phylogenetic trees generated using the putative </w:t>
                  </w:r>
                  <w:r w:rsidR="00C024C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L</w:t>
                  </w:r>
                  <w:r w:rsidRPr="00FF492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 MP</w:t>
                  </w:r>
                  <w:r w:rsidR="00C024C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</w:t>
                  </w:r>
                  <w:r w:rsidRPr="00FF492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and NP amino acid sequences of these viruses and those of representative members in the order </w:t>
                  </w:r>
                  <w:r w:rsidRPr="00FF4923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 xml:space="preserve">Bunyavirales </w:t>
                  </w:r>
                  <w:r w:rsidRPr="00FF492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always clustered WCLaV-1 and WCLaV-2 in the same clade together with the two current</w:t>
                  </w:r>
                  <w:r w:rsidR="00C024C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ly classified</w:t>
                  </w:r>
                  <w:r w:rsidRPr="00FF492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coguviruses (CCGaV and CiVA). High bootstrap values (100 for the node of the clade and 82</w:t>
                  </w:r>
                  <w:r w:rsidR="00C024C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–</w:t>
                  </w:r>
                  <w:r w:rsidRPr="00FF492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99 for the nodes </w:t>
                  </w:r>
                  <w:r w:rsidRPr="00C024C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within the clade) in the phylogenetic trees strongly support the close phylogenetic relationships between the viruses in this clade. </w:t>
                  </w:r>
                </w:p>
                <w:p w14:paraId="65917C70" w14:textId="43B35F41" w:rsidR="00A174CC" w:rsidRDefault="0002326E" w:rsidP="0002326E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C024C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Since species demarcation for the genus </w:t>
                  </w:r>
                  <w:r w:rsidRPr="00C024CC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Coguvirus</w:t>
                  </w:r>
                  <w:r w:rsidRPr="00C024C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has been established as &lt;95% identity in the amino acid (aa) sequence of the</w:t>
                  </w:r>
                  <w:r w:rsidRPr="00FF4923">
                    <w:rPr>
                      <w:rFonts w:ascii="Arial" w:hAnsi="Arial" w:cs="Arial"/>
                      <w:color w:val="000000" w:themeColor="text1"/>
                      <w:sz w:val="22"/>
                    </w:rPr>
                    <w:t xml:space="preserve"> RdRp</w:t>
                  </w:r>
                  <w:r w:rsidR="00C024CC">
                    <w:rPr>
                      <w:rFonts w:ascii="Arial" w:hAnsi="Arial" w:cs="Arial"/>
                      <w:color w:val="000000" w:themeColor="text1"/>
                      <w:sz w:val="22"/>
                    </w:rPr>
                    <w:t xml:space="preserve"> (TaxoProp </w:t>
                  </w:r>
                  <w:r w:rsidRPr="00FF4923">
                    <w:rPr>
                      <w:rFonts w:ascii="Arial" w:hAnsi="Arial" w:cs="Arial"/>
                      <w:color w:val="000000" w:themeColor="text1"/>
                      <w:sz w:val="22"/>
                    </w:rPr>
                    <w:t xml:space="preserve">2019.026M), and since </w:t>
                  </w:r>
                  <w:r w:rsidRPr="00B80CB3">
                    <w:rPr>
                      <w:rFonts w:ascii="Arial" w:hAnsi="Arial" w:cs="Arial"/>
                      <w:sz w:val="22"/>
                    </w:rPr>
                    <w:t>WCLaV-1 and WCLaV-2 RdRps share aa sequence identi</w:t>
                  </w:r>
                  <w:r>
                    <w:rPr>
                      <w:rFonts w:ascii="Arial" w:hAnsi="Arial" w:cs="Arial"/>
                      <w:sz w:val="22"/>
                    </w:rPr>
                    <w:t>t</w:t>
                  </w:r>
                  <w:r w:rsidRPr="00B80CB3">
                    <w:rPr>
                      <w:rFonts w:ascii="Arial" w:hAnsi="Arial" w:cs="Arial"/>
                      <w:sz w:val="22"/>
                    </w:rPr>
                    <w:t>y of 58.8 %</w:t>
                  </w:r>
                  <w:r>
                    <w:rPr>
                      <w:rFonts w:ascii="Arial" w:hAnsi="Arial" w:cs="Arial"/>
                      <w:sz w:val="22"/>
                    </w:rPr>
                    <w:t xml:space="preserve"> with each other and even lower with </w:t>
                  </w:r>
                  <w:r w:rsidR="00C024CC">
                    <w:rPr>
                      <w:rFonts w:ascii="Arial" w:hAnsi="Arial" w:cs="Arial"/>
                      <w:sz w:val="22"/>
                    </w:rPr>
                    <w:t xml:space="preserve">those of </w:t>
                  </w:r>
                  <w:r>
                    <w:rPr>
                      <w:rFonts w:ascii="Arial" w:hAnsi="Arial" w:cs="Arial"/>
                      <w:sz w:val="22"/>
                    </w:rPr>
                    <w:t>other coguviruses (Table 1)</w:t>
                  </w:r>
                  <w:r w:rsidRPr="00B80CB3">
                    <w:rPr>
                      <w:rFonts w:ascii="Arial" w:hAnsi="Arial" w:cs="Arial"/>
                      <w:sz w:val="22"/>
                    </w:rPr>
                    <w:t>, we propose to classify these two viruses in two novel species</w:t>
                  </w:r>
                  <w:r w:rsidRPr="00361A5D">
                    <w:rPr>
                      <w:rFonts w:ascii="Arial" w:hAnsi="Arial" w:cs="Arial"/>
                      <w:sz w:val="22"/>
                    </w:rPr>
                    <w:t>.</w:t>
                  </w: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6FF98E8A" w14:textId="77777777" w:rsidR="0035490D" w:rsidRDefault="0035490D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0D783107" w14:textId="77777777" w:rsidR="0035490D" w:rsidRDefault="0035490D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5B39C668" w14:textId="77777777" w:rsidR="0035490D" w:rsidRDefault="0035490D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6B5315D2" w14:textId="56FDA1EC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Supporting evidence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1440"/>
        <w:gridCol w:w="1440"/>
        <w:gridCol w:w="1156"/>
        <w:gridCol w:w="943"/>
      </w:tblGrid>
      <w:tr w:rsidR="0002326E" w:rsidRPr="00CA437F" w14:paraId="4B547D9E" w14:textId="77777777" w:rsidTr="008C47FA">
        <w:trPr>
          <w:trHeight w:val="770"/>
        </w:trPr>
        <w:tc>
          <w:tcPr>
            <w:tcW w:w="6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74D45" w14:textId="77777777" w:rsidR="0035490D" w:rsidRDefault="0035490D" w:rsidP="008C47FA">
            <w:pPr>
              <w:jc w:val="both"/>
              <w:rPr>
                <w:rFonts w:ascii="Arial" w:eastAsia="Times" w:hAnsi="Arial" w:cs="Arial"/>
                <w:b/>
                <w:sz w:val="22"/>
                <w:szCs w:val="20"/>
                <w:lang w:eastAsia="en-GB"/>
              </w:rPr>
            </w:pPr>
          </w:p>
          <w:p w14:paraId="1F801988" w14:textId="77777777" w:rsidR="0035490D" w:rsidRDefault="0035490D" w:rsidP="008C47FA">
            <w:pPr>
              <w:jc w:val="both"/>
              <w:rPr>
                <w:rFonts w:ascii="Arial" w:eastAsia="Times" w:hAnsi="Arial" w:cs="Arial"/>
                <w:b/>
                <w:sz w:val="22"/>
                <w:szCs w:val="20"/>
                <w:lang w:eastAsia="en-GB"/>
              </w:rPr>
            </w:pPr>
          </w:p>
          <w:p w14:paraId="09743CFD" w14:textId="7D7C2ABA" w:rsidR="0002326E" w:rsidRPr="00CA437F" w:rsidRDefault="0002326E" w:rsidP="008C47FA">
            <w:pPr>
              <w:jc w:val="both"/>
              <w:rPr>
                <w:rFonts w:ascii="Calibri" w:hAnsi="Calibri" w:cs="Calibri"/>
                <w:color w:val="000000"/>
                <w:lang w:eastAsia="it-IT"/>
              </w:rPr>
            </w:pPr>
            <w:r w:rsidRPr="00CA437F">
              <w:rPr>
                <w:rFonts w:ascii="Arial" w:eastAsia="Times" w:hAnsi="Arial" w:cs="Arial"/>
                <w:b/>
                <w:sz w:val="22"/>
                <w:szCs w:val="20"/>
                <w:lang w:eastAsia="en-GB"/>
              </w:rPr>
              <w:t>Table 1.</w:t>
            </w:r>
            <w:r w:rsidRPr="00CA437F">
              <w:rPr>
                <w:rFonts w:ascii="Arial" w:eastAsia="Times" w:hAnsi="Arial" w:cs="Arial"/>
                <w:sz w:val="22"/>
                <w:szCs w:val="20"/>
                <w:lang w:eastAsia="en-GB"/>
              </w:rPr>
              <w:t xml:space="preserve"> Comparison </w:t>
            </w:r>
            <w:r w:rsidR="000D7CAD">
              <w:rPr>
                <w:rFonts w:ascii="Arial" w:eastAsia="Times" w:hAnsi="Arial" w:cs="Arial"/>
                <w:sz w:val="22"/>
                <w:szCs w:val="20"/>
                <w:lang w:eastAsia="en-GB"/>
              </w:rPr>
              <w:t>of</w:t>
            </w:r>
            <w:r w:rsidRPr="00CA437F">
              <w:rPr>
                <w:rFonts w:ascii="Arial" w:eastAsia="Times" w:hAnsi="Arial" w:cs="Arial"/>
                <w:sz w:val="22"/>
                <w:szCs w:val="20"/>
                <w:lang w:eastAsia="en-GB"/>
              </w:rPr>
              <w:t xml:space="preserve"> </w:t>
            </w:r>
            <w:r w:rsidRPr="00E01821">
              <w:rPr>
                <w:rFonts w:ascii="Arial" w:eastAsia="Times" w:hAnsi="Arial" w:cs="Arial"/>
                <w:sz w:val="22"/>
                <w:szCs w:val="20"/>
                <w:lang w:eastAsia="en-GB"/>
              </w:rPr>
              <w:t xml:space="preserve">the </w:t>
            </w:r>
            <w:r w:rsidRPr="00CA437F">
              <w:rPr>
                <w:rFonts w:ascii="Arial" w:eastAsia="Times" w:hAnsi="Arial" w:cs="Arial"/>
                <w:sz w:val="22"/>
                <w:szCs w:val="20"/>
                <w:lang w:eastAsia="en-GB"/>
              </w:rPr>
              <w:t xml:space="preserve">amino acid sequences of </w:t>
            </w:r>
            <w:r w:rsidRPr="00E01821">
              <w:rPr>
                <w:rFonts w:ascii="Arial" w:eastAsia="Times" w:hAnsi="Arial" w:cs="Arial"/>
                <w:sz w:val="22"/>
                <w:szCs w:val="20"/>
                <w:lang w:eastAsia="en-GB"/>
              </w:rPr>
              <w:t>the RNA-</w:t>
            </w:r>
            <w:r w:rsidR="000D7CAD">
              <w:rPr>
                <w:rFonts w:ascii="Arial" w:eastAsia="Times" w:hAnsi="Arial" w:cs="Arial"/>
                <w:sz w:val="22"/>
                <w:szCs w:val="20"/>
                <w:lang w:eastAsia="en-GB"/>
              </w:rPr>
              <w:t>directed</w:t>
            </w:r>
            <w:r w:rsidRPr="00E01821">
              <w:rPr>
                <w:rFonts w:ascii="Arial" w:eastAsia="Times" w:hAnsi="Arial" w:cs="Arial"/>
                <w:sz w:val="22"/>
                <w:szCs w:val="20"/>
                <w:lang w:eastAsia="en-GB"/>
              </w:rPr>
              <w:t xml:space="preserve"> RNA polymerase of </w:t>
            </w:r>
            <w:r w:rsidRPr="00CA437F">
              <w:rPr>
                <w:rFonts w:ascii="Arial" w:eastAsia="Times" w:hAnsi="Arial" w:cs="Arial"/>
                <w:sz w:val="22"/>
                <w:szCs w:val="20"/>
                <w:lang w:eastAsia="en-GB"/>
              </w:rPr>
              <w:t>WCLaV-1, WCLaV-2, CCGaV and CiVA</w:t>
            </w:r>
            <w:r>
              <w:rPr>
                <w:rFonts w:ascii="Arial" w:eastAsia="Times" w:hAnsi="Arial" w:cs="Arial"/>
                <w:sz w:val="22"/>
                <w:szCs w:val="20"/>
                <w:lang w:eastAsia="en-GB"/>
              </w:rPr>
              <w:t>.</w:t>
            </w:r>
            <w:r w:rsidRPr="00CA437F">
              <w:rPr>
                <w:rFonts w:ascii="Calibri" w:hAnsi="Calibri" w:cs="Calibri"/>
                <w:color w:val="000000"/>
                <w:lang w:eastAsia="it-IT"/>
              </w:rPr>
              <w:t xml:space="preserve"> </w:t>
            </w:r>
            <w:r w:rsidR="000D7CAD">
              <w:rPr>
                <w:rFonts w:ascii="Calibri" w:hAnsi="Calibri" w:cs="Calibri"/>
                <w:color w:val="000000"/>
                <w:lang w:eastAsia="it-IT"/>
              </w:rPr>
              <w:t>S</w:t>
            </w:r>
            <w:r w:rsidRPr="009F6674">
              <w:rPr>
                <w:rFonts w:ascii="Calibri" w:hAnsi="Calibri" w:cs="Calibri"/>
                <w:color w:val="000000"/>
                <w:lang w:eastAsia="it-IT"/>
              </w:rPr>
              <w:t>imilarity and identity scores (%) are shown on white and grey background, respectively</w:t>
            </w:r>
            <w:r>
              <w:rPr>
                <w:rFonts w:ascii="Calibri" w:hAnsi="Calibri" w:cs="Calibri"/>
                <w:color w:val="000000"/>
                <w:lang w:eastAsia="it-IT"/>
              </w:rPr>
              <w:t>.</w:t>
            </w:r>
          </w:p>
        </w:tc>
      </w:tr>
      <w:tr w:rsidR="0002326E" w:rsidRPr="00CA437F" w14:paraId="11036C9F" w14:textId="77777777" w:rsidTr="0035490D">
        <w:trPr>
          <w:trHeight w:val="310"/>
        </w:trPr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3E9B9" w14:textId="77777777" w:rsidR="0002326E" w:rsidRPr="00CA437F" w:rsidRDefault="0002326E" w:rsidP="008C47FA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A1116" w14:textId="77777777" w:rsidR="0002326E" w:rsidRPr="00CA437F" w:rsidRDefault="0002326E" w:rsidP="008C47F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E3948" w14:textId="77777777" w:rsidR="0002326E" w:rsidRPr="00CA437F" w:rsidRDefault="0002326E" w:rsidP="008C47F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85327" w14:textId="77777777" w:rsidR="0002326E" w:rsidRPr="00CA437F" w:rsidRDefault="0002326E" w:rsidP="008C47F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ACA66" w14:textId="77777777" w:rsidR="0002326E" w:rsidRPr="00CA437F" w:rsidRDefault="0002326E" w:rsidP="008C47F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02326E" w:rsidRPr="00CA437F" w14:paraId="71DAF791" w14:textId="77777777" w:rsidTr="0035490D">
        <w:trPr>
          <w:trHeight w:val="320"/>
        </w:trPr>
        <w:tc>
          <w:tcPr>
            <w:tcW w:w="144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AC0C4" w14:textId="77777777" w:rsidR="0002326E" w:rsidRPr="00CA437F" w:rsidRDefault="0002326E" w:rsidP="008C47FA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CA437F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1F119" w14:textId="77777777" w:rsidR="0002326E" w:rsidRPr="00CA437F" w:rsidRDefault="0002326E" w:rsidP="008C47FA">
            <w:pPr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CA437F"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  <w:t>WCLaV-1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B3A61" w14:textId="77777777" w:rsidR="0002326E" w:rsidRPr="00CA437F" w:rsidRDefault="0002326E" w:rsidP="008C47FA">
            <w:pPr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CA437F"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  <w:t>WCLaV-2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B5D1A" w14:textId="77777777" w:rsidR="0002326E" w:rsidRPr="00CA437F" w:rsidRDefault="0002326E" w:rsidP="008C47FA">
            <w:pPr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CA437F"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  <w:t xml:space="preserve">CCGaV 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F7B54" w14:textId="77777777" w:rsidR="0002326E" w:rsidRPr="00CA437F" w:rsidRDefault="0002326E" w:rsidP="008C47FA">
            <w:pPr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CA437F"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  <w:t xml:space="preserve">CiVA   </w:t>
            </w:r>
          </w:p>
        </w:tc>
      </w:tr>
      <w:tr w:rsidR="0002326E" w:rsidRPr="00CA437F" w14:paraId="4E230794" w14:textId="77777777" w:rsidTr="008C47FA">
        <w:trPr>
          <w:trHeight w:val="31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5C66" w14:textId="77777777" w:rsidR="0002326E" w:rsidRPr="00CA437F" w:rsidRDefault="0002326E" w:rsidP="008C47FA">
            <w:pPr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CA437F"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  <w:t>RDRP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B674" w14:textId="77777777" w:rsidR="0002326E" w:rsidRPr="00CA437F" w:rsidRDefault="0002326E" w:rsidP="008C47FA">
            <w:pPr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74A8" w14:textId="77777777" w:rsidR="0002326E" w:rsidRPr="00CA437F" w:rsidRDefault="0002326E" w:rsidP="008C47FA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15E5" w14:textId="77777777" w:rsidR="0002326E" w:rsidRPr="00CA437F" w:rsidRDefault="0002326E" w:rsidP="008C47FA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A2E5" w14:textId="77777777" w:rsidR="0002326E" w:rsidRPr="00CA437F" w:rsidRDefault="0002326E" w:rsidP="008C47FA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</w:p>
        </w:tc>
      </w:tr>
      <w:tr w:rsidR="0002326E" w:rsidRPr="00CA437F" w14:paraId="173E8B48" w14:textId="77777777" w:rsidTr="008C47FA">
        <w:trPr>
          <w:trHeight w:val="31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6912F" w14:textId="77777777" w:rsidR="0002326E" w:rsidRPr="00CA437F" w:rsidRDefault="0002326E" w:rsidP="008C47FA">
            <w:pPr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CA437F"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  <w:t xml:space="preserve">WCLaV-1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7871" w14:textId="77777777" w:rsidR="0002326E" w:rsidRPr="00CA437F" w:rsidRDefault="0002326E" w:rsidP="008C47FA">
            <w:pPr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CA437F"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  <w:t xml:space="preserve"> 100.0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853BA7" w14:textId="77777777" w:rsidR="0002326E" w:rsidRPr="00CA437F" w:rsidRDefault="0002326E" w:rsidP="008C47FA">
            <w:pPr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CA437F"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  <w:t xml:space="preserve">  58.8 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4E3CC6" w14:textId="77777777" w:rsidR="0002326E" w:rsidRPr="00CA437F" w:rsidRDefault="0002326E" w:rsidP="008C47FA">
            <w:pPr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CA437F"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  <w:t xml:space="preserve">  62.5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7E603A" w14:textId="77777777" w:rsidR="0002326E" w:rsidRPr="00CA437F" w:rsidRDefault="0002326E" w:rsidP="008C47FA">
            <w:pPr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CA437F"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  <w:t xml:space="preserve">  62.9 </w:t>
            </w:r>
          </w:p>
        </w:tc>
      </w:tr>
      <w:tr w:rsidR="0002326E" w:rsidRPr="00CA437F" w14:paraId="5A404EA1" w14:textId="77777777" w:rsidTr="008C47FA">
        <w:trPr>
          <w:trHeight w:val="31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20686" w14:textId="77777777" w:rsidR="0002326E" w:rsidRPr="00CA437F" w:rsidRDefault="0002326E" w:rsidP="008C47FA">
            <w:pPr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CA437F"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  <w:t xml:space="preserve">WCLaV-2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1375" w14:textId="77777777" w:rsidR="0002326E" w:rsidRPr="00CA437F" w:rsidRDefault="0002326E" w:rsidP="008C47FA">
            <w:pPr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CA437F"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  <w:t xml:space="preserve">  76.0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1BA4" w14:textId="77777777" w:rsidR="0002326E" w:rsidRPr="00CA437F" w:rsidRDefault="0002326E" w:rsidP="008C47FA">
            <w:pPr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CA437F"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  <w:t xml:space="preserve"> 100.0 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A51588" w14:textId="77777777" w:rsidR="0002326E" w:rsidRPr="00CA437F" w:rsidRDefault="0002326E" w:rsidP="008C47FA">
            <w:pPr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CA437F"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  <w:t xml:space="preserve">  57.5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37C9AA" w14:textId="77777777" w:rsidR="0002326E" w:rsidRPr="00CA437F" w:rsidRDefault="0002326E" w:rsidP="008C47FA">
            <w:pPr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CA437F"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  <w:t xml:space="preserve">  57.0 </w:t>
            </w:r>
          </w:p>
        </w:tc>
      </w:tr>
      <w:tr w:rsidR="0002326E" w:rsidRPr="00CA437F" w14:paraId="47F511E3" w14:textId="77777777" w:rsidTr="008C47FA">
        <w:trPr>
          <w:trHeight w:val="310"/>
        </w:trPr>
        <w:tc>
          <w:tcPr>
            <w:tcW w:w="1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6874" w14:textId="77777777" w:rsidR="0002326E" w:rsidRPr="00CA437F" w:rsidRDefault="0002326E" w:rsidP="008C47FA">
            <w:pPr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CA437F"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  <w:t xml:space="preserve">CCGaV      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50E8C" w14:textId="77777777" w:rsidR="0002326E" w:rsidRPr="00CA437F" w:rsidRDefault="0002326E" w:rsidP="008C47FA">
            <w:pPr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CA437F"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  <w:t xml:space="preserve">  79.3 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BD39F" w14:textId="77777777" w:rsidR="0002326E" w:rsidRPr="00CA437F" w:rsidRDefault="0002326E" w:rsidP="008C47FA">
            <w:pPr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CA437F"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  <w:t xml:space="preserve">  76.2 </w:t>
            </w:r>
          </w:p>
        </w:tc>
        <w:tc>
          <w:tcPr>
            <w:tcW w:w="11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24E88" w14:textId="77777777" w:rsidR="0002326E" w:rsidRPr="00CA437F" w:rsidRDefault="0002326E" w:rsidP="008C47FA">
            <w:pPr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CA437F"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  <w:t xml:space="preserve"> 100.0 </w:t>
            </w:r>
          </w:p>
        </w:tc>
        <w:tc>
          <w:tcPr>
            <w:tcW w:w="943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DBA27B" w14:textId="77777777" w:rsidR="0002326E" w:rsidRPr="00CA437F" w:rsidRDefault="0002326E" w:rsidP="008C47FA">
            <w:pPr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CA437F"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  <w:t xml:space="preserve">  76.6 </w:t>
            </w:r>
          </w:p>
        </w:tc>
      </w:tr>
      <w:tr w:rsidR="0002326E" w:rsidRPr="00CA437F" w14:paraId="5A6FA50A" w14:textId="77777777" w:rsidTr="008C47FA">
        <w:trPr>
          <w:trHeight w:val="310"/>
        </w:trPr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C1D10" w14:textId="77777777" w:rsidR="0002326E" w:rsidRPr="00CA437F" w:rsidRDefault="0002326E" w:rsidP="008C47FA">
            <w:pPr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CA437F"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  <w:t xml:space="preserve">CiVA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3C25C" w14:textId="77777777" w:rsidR="0002326E" w:rsidRPr="00CA437F" w:rsidRDefault="0002326E" w:rsidP="008C47FA">
            <w:pPr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CA437F"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  <w:t xml:space="preserve">  78.4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40B35" w14:textId="77777777" w:rsidR="0002326E" w:rsidRPr="00CA437F" w:rsidRDefault="0002326E" w:rsidP="008C47FA">
            <w:pPr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CA437F"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  <w:t xml:space="preserve">  75.6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EA42D" w14:textId="77777777" w:rsidR="0002326E" w:rsidRPr="00CA437F" w:rsidRDefault="0002326E" w:rsidP="008C47FA">
            <w:pPr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CA437F"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  <w:t xml:space="preserve">  88.3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D4DD5" w14:textId="77777777" w:rsidR="0002326E" w:rsidRPr="00CA437F" w:rsidRDefault="0002326E" w:rsidP="008C47FA">
            <w:pPr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CA437F">
              <w:rPr>
                <w:rFonts w:ascii="Arial" w:hAnsi="Arial" w:cs="Arial"/>
                <w:color w:val="000000"/>
                <w:sz w:val="18"/>
                <w:szCs w:val="18"/>
                <w:lang w:val="it-IT" w:eastAsia="it-IT"/>
              </w:rPr>
              <w:t xml:space="preserve"> 100.0</w:t>
            </w:r>
          </w:p>
        </w:tc>
      </w:tr>
    </w:tbl>
    <w:p w14:paraId="081B6779" w14:textId="106048E8" w:rsidR="0002326E" w:rsidRDefault="0002326E" w:rsidP="0002326E">
      <w:pPr>
        <w:pStyle w:val="BodyTextIndent"/>
        <w:ind w:left="0" w:firstLine="0"/>
        <w:jc w:val="both"/>
        <w:rPr>
          <w:rFonts w:ascii="Arial" w:hAnsi="Arial" w:cs="Arial"/>
          <w:sz w:val="22"/>
        </w:rPr>
      </w:pPr>
    </w:p>
    <w:p w14:paraId="58D99F3B" w14:textId="77777777" w:rsidR="0035490D" w:rsidRDefault="0035490D" w:rsidP="0002326E">
      <w:pPr>
        <w:pStyle w:val="BodyTextIndent"/>
        <w:ind w:left="0" w:firstLine="0"/>
        <w:jc w:val="both"/>
        <w:rPr>
          <w:rFonts w:ascii="Arial" w:hAnsi="Arial" w:cs="Arial"/>
          <w:sz w:val="22"/>
        </w:rPr>
      </w:pPr>
    </w:p>
    <w:p w14:paraId="6D7908B4" w14:textId="22585E5D" w:rsidR="00A174CC" w:rsidRDefault="0002326E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 w:rsidRPr="00EA3118">
        <w:rPr>
          <w:rFonts w:ascii="Arial" w:hAnsi="Arial" w:cs="Arial"/>
          <w:noProof/>
          <w:color w:val="0000FF"/>
          <w:sz w:val="22"/>
          <w:szCs w:val="22"/>
          <w:lang w:val="it-IT" w:eastAsia="it-IT"/>
        </w:rPr>
        <w:drawing>
          <wp:inline distT="0" distB="0" distL="0" distR="0" wp14:anchorId="3328C7B0" wp14:editId="5448E8A6">
            <wp:extent cx="5731510" cy="4097655"/>
            <wp:effectExtent l="0" t="0" r="0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9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34B24" w14:textId="2BACEBDD" w:rsidR="0002326E" w:rsidRPr="00AC40CF" w:rsidRDefault="0002326E" w:rsidP="0002326E">
      <w:pPr>
        <w:pStyle w:val="EndNoteBibliography"/>
        <w:rPr>
          <w:rFonts w:ascii="Arial" w:eastAsia="Times" w:hAnsi="Arial" w:cs="Arial"/>
          <w:noProof w:val="0"/>
          <w:kern w:val="0"/>
          <w:szCs w:val="20"/>
          <w:lang w:eastAsia="en-GB"/>
        </w:rPr>
      </w:pPr>
      <w:r w:rsidRPr="00E01821">
        <w:rPr>
          <w:rFonts w:ascii="Arial" w:eastAsia="Times" w:hAnsi="Arial" w:cs="Arial"/>
          <w:b/>
          <w:noProof w:val="0"/>
          <w:kern w:val="0"/>
          <w:szCs w:val="20"/>
          <w:lang w:eastAsia="en-GB"/>
        </w:rPr>
        <w:t>FIGURE 1.</w:t>
      </w:r>
      <w:r w:rsidRPr="00AC40CF">
        <w:rPr>
          <w:rFonts w:ascii="Arial" w:eastAsia="Times" w:hAnsi="Arial" w:cs="Arial"/>
          <w:noProof w:val="0"/>
          <w:kern w:val="0"/>
          <w:szCs w:val="20"/>
          <w:lang w:eastAsia="en-GB"/>
        </w:rPr>
        <w:t xml:space="preserve"> Phylogenetic tree of the RNA-</w:t>
      </w:r>
      <w:r w:rsidR="000D7CAD">
        <w:rPr>
          <w:rFonts w:ascii="Arial" w:eastAsia="Times" w:hAnsi="Arial" w:cs="Arial"/>
          <w:noProof w:val="0"/>
          <w:kern w:val="0"/>
          <w:szCs w:val="20"/>
          <w:lang w:eastAsia="en-GB"/>
        </w:rPr>
        <w:t>directed</w:t>
      </w:r>
      <w:r w:rsidRPr="00AC40CF">
        <w:rPr>
          <w:rFonts w:ascii="Arial" w:eastAsia="Times" w:hAnsi="Arial" w:cs="Arial"/>
          <w:noProof w:val="0"/>
          <w:kern w:val="0"/>
          <w:szCs w:val="20"/>
          <w:lang w:eastAsia="en-GB"/>
        </w:rPr>
        <w:t xml:space="preserve"> RNA polymerase (RdRp) conserved core domain of watermelon </w:t>
      </w:r>
      <w:r w:rsidRPr="004C32A4">
        <w:rPr>
          <w:rFonts w:ascii="Arial" w:eastAsia="Times" w:hAnsi="Arial" w:cs="Arial"/>
          <w:noProof w:val="0"/>
          <w:kern w:val="0"/>
          <w:szCs w:val="20"/>
          <w:lang w:eastAsia="en-GB"/>
        </w:rPr>
        <w:t>crinkle leaf-associated</w:t>
      </w:r>
      <w:r w:rsidRPr="00AC40CF">
        <w:rPr>
          <w:rFonts w:ascii="Arial" w:eastAsia="Times" w:hAnsi="Arial" w:cs="Arial"/>
          <w:noProof w:val="0"/>
          <w:kern w:val="0"/>
          <w:szCs w:val="20"/>
          <w:lang w:eastAsia="en-GB"/>
        </w:rPr>
        <w:t xml:space="preserve"> virus 1 and watermelon </w:t>
      </w:r>
      <w:r w:rsidRPr="004C32A4">
        <w:rPr>
          <w:rFonts w:ascii="Arial" w:eastAsia="Times" w:hAnsi="Arial" w:cs="Arial"/>
          <w:noProof w:val="0"/>
          <w:kern w:val="0"/>
          <w:szCs w:val="20"/>
          <w:lang w:eastAsia="en-GB"/>
        </w:rPr>
        <w:t>crinkle leaf-associated</w:t>
      </w:r>
      <w:r w:rsidRPr="00AC40CF">
        <w:rPr>
          <w:rFonts w:ascii="Arial" w:eastAsia="Times" w:hAnsi="Arial" w:cs="Arial"/>
          <w:noProof w:val="0"/>
          <w:kern w:val="0"/>
          <w:szCs w:val="20"/>
          <w:lang w:eastAsia="en-GB"/>
        </w:rPr>
        <w:t xml:space="preserve"> virus 2, representative members of genera of the family </w:t>
      </w:r>
      <w:r w:rsidRPr="00DE540F">
        <w:rPr>
          <w:rFonts w:ascii="Arial" w:eastAsia="Times" w:hAnsi="Arial" w:cs="Arial"/>
          <w:i/>
          <w:noProof w:val="0"/>
          <w:kern w:val="0"/>
          <w:szCs w:val="20"/>
          <w:lang w:eastAsia="en-GB"/>
        </w:rPr>
        <w:t>Phenuiviridae</w:t>
      </w:r>
      <w:r w:rsidRPr="00AC40CF">
        <w:rPr>
          <w:rFonts w:ascii="Arial" w:eastAsia="Times" w:hAnsi="Arial" w:cs="Arial"/>
          <w:noProof w:val="0"/>
          <w:kern w:val="0"/>
          <w:szCs w:val="20"/>
          <w:lang w:eastAsia="en-GB"/>
        </w:rPr>
        <w:t xml:space="preserve"> and of genera </w:t>
      </w:r>
      <w:r w:rsidRPr="00DE540F">
        <w:rPr>
          <w:rFonts w:ascii="Arial" w:eastAsia="Times" w:hAnsi="Arial" w:cs="Arial"/>
          <w:i/>
          <w:noProof w:val="0"/>
          <w:kern w:val="0"/>
          <w:szCs w:val="20"/>
          <w:lang w:eastAsia="en-GB"/>
        </w:rPr>
        <w:t>Orthotospovirus</w:t>
      </w:r>
      <w:r w:rsidRPr="00AC40CF">
        <w:rPr>
          <w:rFonts w:ascii="Arial" w:eastAsia="Times" w:hAnsi="Arial" w:cs="Arial"/>
          <w:noProof w:val="0"/>
          <w:kern w:val="0"/>
          <w:szCs w:val="20"/>
          <w:lang w:eastAsia="en-GB"/>
        </w:rPr>
        <w:t xml:space="preserve"> and </w:t>
      </w:r>
      <w:r w:rsidRPr="00DE540F">
        <w:rPr>
          <w:rFonts w:ascii="Arial" w:eastAsia="Times" w:hAnsi="Arial" w:cs="Arial"/>
          <w:i/>
          <w:noProof w:val="0"/>
          <w:kern w:val="0"/>
          <w:szCs w:val="20"/>
          <w:lang w:eastAsia="en-GB"/>
        </w:rPr>
        <w:t>Emaravirus</w:t>
      </w:r>
      <w:r w:rsidRPr="00AC40CF">
        <w:rPr>
          <w:rFonts w:ascii="Arial" w:eastAsia="Times" w:hAnsi="Arial" w:cs="Arial"/>
          <w:noProof w:val="0"/>
          <w:kern w:val="0"/>
          <w:szCs w:val="20"/>
          <w:lang w:eastAsia="en-GB"/>
        </w:rPr>
        <w:t xml:space="preserve">. Maximum likelihood method adopting the LG + G + F amino acid substitution model was used to infer the phylogenetic tree. Bootstrap probability values (500 replicates) above 50% are shown at branch nodes. Tree branches are proportional to the genetic distances, with the scale bar indicating substitutions per amino acid site. </w:t>
      </w:r>
      <w:r w:rsidRPr="00146D54">
        <w:rPr>
          <w:rFonts w:ascii="Arial" w:eastAsia="Times" w:hAnsi="Arial" w:cs="Arial"/>
          <w:noProof w:val="0"/>
          <w:kern w:val="0"/>
          <w:szCs w:val="20"/>
          <w:lang w:eastAsia="en-GB"/>
        </w:rPr>
        <w:t xml:space="preserve">The </w:t>
      </w:r>
      <w:r w:rsidRPr="000D7CAD">
        <w:rPr>
          <w:rFonts w:ascii="Arial" w:eastAsia="Times" w:hAnsi="Arial" w:cs="Arial"/>
          <w:noProof w:val="0"/>
          <w:kern w:val="0"/>
          <w:szCs w:val="20"/>
          <w:lang w:eastAsia="en-GB"/>
        </w:rPr>
        <w:t>cluster</w:t>
      </w:r>
      <w:r w:rsidRPr="00146D54">
        <w:rPr>
          <w:rFonts w:ascii="Arial" w:eastAsia="Times" w:hAnsi="Arial" w:cs="Arial"/>
          <w:noProof w:val="0"/>
          <w:kern w:val="0"/>
          <w:szCs w:val="20"/>
          <w:lang w:eastAsia="en-GB"/>
        </w:rPr>
        <w:t xml:space="preserve"> including current members of genus </w:t>
      </w:r>
      <w:r w:rsidRPr="00146D54">
        <w:rPr>
          <w:rFonts w:ascii="Arial" w:eastAsia="Times" w:hAnsi="Arial" w:cs="Arial"/>
          <w:i/>
          <w:noProof w:val="0"/>
          <w:kern w:val="0"/>
          <w:szCs w:val="20"/>
          <w:lang w:eastAsia="en-GB"/>
        </w:rPr>
        <w:t>Coguvirus</w:t>
      </w:r>
      <w:r w:rsidRPr="00146D54">
        <w:rPr>
          <w:rFonts w:ascii="Arial" w:eastAsia="Times" w:hAnsi="Arial" w:cs="Arial"/>
          <w:noProof w:val="0"/>
          <w:kern w:val="0"/>
          <w:szCs w:val="20"/>
          <w:lang w:eastAsia="en-GB"/>
        </w:rPr>
        <w:t xml:space="preserve"> and the members of the new pr</w:t>
      </w:r>
      <w:r>
        <w:rPr>
          <w:rFonts w:ascii="Arial" w:eastAsia="Times" w:hAnsi="Arial" w:cs="Arial"/>
          <w:noProof w:val="0"/>
          <w:kern w:val="0"/>
          <w:szCs w:val="20"/>
          <w:lang w:eastAsia="en-GB"/>
        </w:rPr>
        <w:t xml:space="preserve">oposed species is reported on </w:t>
      </w:r>
      <w:r w:rsidRPr="00146D54">
        <w:rPr>
          <w:rFonts w:ascii="Arial" w:eastAsia="Times" w:hAnsi="Arial" w:cs="Arial"/>
          <w:noProof w:val="0"/>
          <w:kern w:val="0"/>
          <w:szCs w:val="20"/>
          <w:lang w:eastAsia="en-GB"/>
        </w:rPr>
        <w:t xml:space="preserve">orange background </w:t>
      </w:r>
      <w:r w:rsidRPr="00AC40CF">
        <w:rPr>
          <w:rFonts w:ascii="Arial" w:eastAsia="Times" w:hAnsi="Arial" w:cs="Arial"/>
          <w:noProof w:val="0"/>
          <w:kern w:val="0"/>
          <w:szCs w:val="20"/>
          <w:lang w:eastAsia="en-GB"/>
        </w:rPr>
        <w:t>(</w:t>
      </w:r>
      <w:r>
        <w:rPr>
          <w:rFonts w:ascii="Arial" w:eastAsia="Times" w:hAnsi="Arial" w:cs="Arial"/>
          <w:noProof w:val="0"/>
          <w:kern w:val="0"/>
          <w:szCs w:val="20"/>
          <w:lang w:eastAsia="en-GB"/>
        </w:rPr>
        <w:t xml:space="preserve">modified </w:t>
      </w:r>
      <w:r w:rsidRPr="00AC40CF">
        <w:rPr>
          <w:rFonts w:ascii="Arial" w:eastAsia="Times" w:hAnsi="Arial" w:cs="Arial"/>
          <w:noProof w:val="0"/>
          <w:kern w:val="0"/>
          <w:szCs w:val="20"/>
          <w:lang w:eastAsia="en-GB"/>
        </w:rPr>
        <w:t xml:space="preserve">from Zhang </w:t>
      </w:r>
      <w:r w:rsidRPr="00412FBE">
        <w:rPr>
          <w:rFonts w:ascii="Arial" w:eastAsia="Times" w:hAnsi="Arial" w:cs="Arial"/>
          <w:noProof w:val="0"/>
          <w:kern w:val="0"/>
          <w:szCs w:val="20"/>
          <w:lang w:eastAsia="en-GB"/>
        </w:rPr>
        <w:t>et al</w:t>
      </w:r>
      <w:r w:rsidR="000D7CAD">
        <w:rPr>
          <w:rFonts w:ascii="Arial" w:eastAsia="Times" w:hAnsi="Arial" w:cs="Arial"/>
          <w:noProof w:val="0"/>
          <w:kern w:val="0"/>
          <w:szCs w:val="20"/>
          <w:lang w:eastAsia="en-GB"/>
        </w:rPr>
        <w:t>.</w:t>
      </w:r>
      <w:r w:rsidRPr="00AC40CF">
        <w:rPr>
          <w:rFonts w:ascii="Arial" w:eastAsia="Times" w:hAnsi="Arial" w:cs="Arial"/>
          <w:noProof w:val="0"/>
          <w:kern w:val="0"/>
          <w:szCs w:val="20"/>
          <w:lang w:eastAsia="en-GB"/>
        </w:rPr>
        <w:t>,</w:t>
      </w:r>
      <w:r w:rsidR="000D7CAD">
        <w:rPr>
          <w:rFonts w:ascii="Arial" w:eastAsia="Times" w:hAnsi="Arial" w:cs="Arial"/>
          <w:noProof w:val="0"/>
          <w:kern w:val="0"/>
          <w:szCs w:val="20"/>
          <w:lang w:eastAsia="en-GB"/>
        </w:rPr>
        <w:t xml:space="preserve"> </w:t>
      </w:r>
      <w:r w:rsidRPr="00AC40CF">
        <w:rPr>
          <w:rFonts w:ascii="Arial" w:eastAsia="Times" w:hAnsi="Arial" w:cs="Arial"/>
          <w:noProof w:val="0"/>
          <w:kern w:val="0"/>
          <w:szCs w:val="20"/>
          <w:lang w:eastAsia="en-GB"/>
        </w:rPr>
        <w:t>2021)</w:t>
      </w:r>
      <w:r>
        <w:rPr>
          <w:rFonts w:ascii="Arial" w:eastAsia="Times" w:hAnsi="Arial" w:cs="Arial"/>
          <w:noProof w:val="0"/>
          <w:kern w:val="0"/>
          <w:szCs w:val="20"/>
          <w:lang w:eastAsia="en-GB"/>
        </w:rPr>
        <w:t>.</w:t>
      </w:r>
    </w:p>
    <w:p w14:paraId="574FE57D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2F23CF3E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0BD24768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1D0A1802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2747B32F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04B1DD3B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3680DB07" w14:textId="7F13418F" w:rsidR="00A174CC" w:rsidRDefault="0002326E">
      <w:pPr>
        <w:rPr>
          <w:rFonts w:ascii="Arial" w:hAnsi="Arial" w:cs="Arial"/>
          <w:b/>
          <w:sz w:val="22"/>
          <w:szCs w:val="22"/>
        </w:rPr>
      </w:pPr>
      <w:r w:rsidRPr="000F24E0">
        <w:rPr>
          <w:noProof/>
          <w:lang w:val="it-IT" w:eastAsia="it-IT"/>
        </w:rPr>
        <w:drawing>
          <wp:inline distT="0" distB="0" distL="0" distR="0" wp14:anchorId="20C70622" wp14:editId="0E431182">
            <wp:extent cx="5026025" cy="4954905"/>
            <wp:effectExtent l="0" t="0" r="317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025" cy="495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F7709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5C98BCD0" w14:textId="0B3C2986" w:rsidR="0002326E" w:rsidRDefault="0002326E" w:rsidP="0002326E">
      <w:pPr>
        <w:pStyle w:val="EndNoteBibliography"/>
        <w:rPr>
          <w:rFonts w:ascii="Arial" w:eastAsia="Times" w:hAnsi="Arial" w:cs="Arial"/>
          <w:noProof w:val="0"/>
          <w:kern w:val="0"/>
          <w:szCs w:val="20"/>
          <w:lang w:eastAsia="en-GB"/>
        </w:rPr>
      </w:pPr>
      <w:r w:rsidRPr="000458FE">
        <w:rPr>
          <w:rFonts w:ascii="Arial" w:hAnsi="Arial" w:cs="Arial"/>
          <w:b/>
          <w:szCs w:val="20"/>
        </w:rPr>
        <w:t>FIGURE 2.</w:t>
      </w:r>
      <w:r w:rsidRPr="000458FE">
        <w:rPr>
          <w:rFonts w:ascii="Arial" w:hAnsi="Arial" w:cs="Arial"/>
          <w:szCs w:val="20"/>
        </w:rPr>
        <w:t xml:space="preserve"> Maximum likelihood phylogenetic tree inferred from the nucleocapsid protein (NP) sequences of watermelon crinkle leaf-associated virus 1 and watermelon crinkle leaf-associated virus 2 (blue arrows), members of the genus </w:t>
      </w:r>
      <w:r w:rsidRPr="000F24E0">
        <w:rPr>
          <w:rFonts w:ascii="Arial" w:hAnsi="Arial" w:cs="Arial"/>
          <w:i/>
          <w:szCs w:val="20"/>
        </w:rPr>
        <w:t>Coguvirus</w:t>
      </w:r>
      <w:r w:rsidRPr="000458FE">
        <w:rPr>
          <w:rFonts w:ascii="Arial" w:hAnsi="Arial" w:cs="Arial"/>
          <w:szCs w:val="20"/>
        </w:rPr>
        <w:t xml:space="preserve"> and of representative members of all the genera of the family </w:t>
      </w:r>
      <w:r w:rsidRPr="000F24E0">
        <w:rPr>
          <w:rFonts w:ascii="Arial" w:hAnsi="Arial" w:cs="Arial"/>
          <w:i/>
          <w:szCs w:val="20"/>
        </w:rPr>
        <w:t>Phenuiviridae</w:t>
      </w:r>
      <w:r w:rsidRPr="000458FE">
        <w:rPr>
          <w:rFonts w:ascii="Arial" w:hAnsi="Arial" w:cs="Arial"/>
          <w:szCs w:val="20"/>
        </w:rPr>
        <w:t xml:space="preserve">, with the NP of European mountain ash ringspot-associated virus (family </w:t>
      </w:r>
      <w:r w:rsidRPr="000D7CAD">
        <w:rPr>
          <w:rFonts w:ascii="Arial" w:hAnsi="Arial" w:cs="Arial"/>
          <w:i/>
          <w:iCs/>
          <w:szCs w:val="20"/>
        </w:rPr>
        <w:t>Fimoviridae</w:t>
      </w:r>
      <w:r w:rsidRPr="000458FE">
        <w:rPr>
          <w:rFonts w:ascii="Arial" w:hAnsi="Arial" w:cs="Arial"/>
          <w:szCs w:val="20"/>
        </w:rPr>
        <w:t>) used as</w:t>
      </w:r>
      <w:r>
        <w:rPr>
          <w:rFonts w:ascii="Arial" w:hAnsi="Arial" w:cs="Arial"/>
          <w:szCs w:val="20"/>
        </w:rPr>
        <w:t xml:space="preserve"> outgroup.</w:t>
      </w:r>
      <w:r w:rsidRPr="000458FE">
        <w:rPr>
          <w:rFonts w:ascii="Arial" w:hAnsi="Arial" w:cs="Arial"/>
          <w:szCs w:val="20"/>
        </w:rPr>
        <w:t xml:space="preserve"> Information of bootstrap values, distances, and other symbols are as re</w:t>
      </w:r>
      <w:r>
        <w:rPr>
          <w:rFonts w:ascii="Arial" w:hAnsi="Arial" w:cs="Arial"/>
          <w:szCs w:val="20"/>
        </w:rPr>
        <w:t>ported in the legend to Figure 1</w:t>
      </w:r>
      <w:r w:rsidR="001D1056">
        <w:rPr>
          <w:rFonts w:ascii="Arial" w:hAnsi="Arial" w:cs="Arial"/>
          <w:szCs w:val="20"/>
        </w:rPr>
        <w:t xml:space="preserve"> </w:t>
      </w:r>
      <w:r w:rsidRPr="00AC40CF">
        <w:rPr>
          <w:rFonts w:ascii="Arial" w:eastAsia="Times" w:hAnsi="Arial" w:cs="Arial"/>
          <w:noProof w:val="0"/>
          <w:kern w:val="0"/>
          <w:szCs w:val="20"/>
          <w:lang w:eastAsia="en-GB"/>
        </w:rPr>
        <w:t xml:space="preserve">(Zhang </w:t>
      </w:r>
      <w:r w:rsidRPr="00412FBE">
        <w:rPr>
          <w:rFonts w:ascii="Arial" w:eastAsia="Times" w:hAnsi="Arial" w:cs="Arial"/>
          <w:noProof w:val="0"/>
          <w:kern w:val="0"/>
          <w:szCs w:val="20"/>
          <w:lang w:eastAsia="en-GB"/>
        </w:rPr>
        <w:t>et al</w:t>
      </w:r>
      <w:r w:rsidR="000D7CAD">
        <w:rPr>
          <w:rFonts w:ascii="Arial" w:eastAsia="Times" w:hAnsi="Arial" w:cs="Arial"/>
          <w:noProof w:val="0"/>
          <w:kern w:val="0"/>
          <w:szCs w:val="20"/>
          <w:lang w:eastAsia="en-GB"/>
        </w:rPr>
        <w:t>.</w:t>
      </w:r>
      <w:r w:rsidRPr="00AC40CF">
        <w:rPr>
          <w:rFonts w:ascii="Arial" w:eastAsia="Times" w:hAnsi="Arial" w:cs="Arial"/>
          <w:noProof w:val="0"/>
          <w:kern w:val="0"/>
          <w:szCs w:val="20"/>
          <w:lang w:eastAsia="en-GB"/>
        </w:rPr>
        <w:t>, 2021)</w:t>
      </w:r>
      <w:r>
        <w:rPr>
          <w:rFonts w:ascii="Arial" w:eastAsia="Times" w:hAnsi="Arial" w:cs="Arial"/>
          <w:noProof w:val="0"/>
          <w:kern w:val="0"/>
          <w:szCs w:val="20"/>
          <w:lang w:eastAsia="en-GB"/>
        </w:rPr>
        <w:t>.</w:t>
      </w:r>
    </w:p>
    <w:p w14:paraId="51663F6D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5A9C2A6A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3413FAFA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7D9013D2" w14:textId="35E08B80" w:rsidR="00A174CC" w:rsidRDefault="0002326E">
      <w:pPr>
        <w:rPr>
          <w:rFonts w:ascii="Arial" w:hAnsi="Arial" w:cs="Arial"/>
          <w:b/>
          <w:sz w:val="22"/>
          <w:szCs w:val="22"/>
        </w:rPr>
      </w:pPr>
      <w:r w:rsidRPr="00595873">
        <w:rPr>
          <w:b/>
          <w:noProof/>
          <w:sz w:val="36"/>
          <w:lang w:val="it-IT" w:eastAsia="it-IT"/>
        </w:rPr>
        <w:lastRenderedPageBreak/>
        <w:drawing>
          <wp:inline distT="0" distB="0" distL="0" distR="0" wp14:anchorId="02546ADF" wp14:editId="74DD95CD">
            <wp:extent cx="5731510" cy="3735705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3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AB513" w14:textId="5D890545" w:rsidR="0002326E" w:rsidRDefault="0002326E" w:rsidP="0002326E">
      <w:pPr>
        <w:pStyle w:val="EndNoteBibliography"/>
        <w:rPr>
          <w:rFonts w:ascii="Arial" w:eastAsia="Times" w:hAnsi="Arial" w:cs="Arial"/>
          <w:noProof w:val="0"/>
          <w:kern w:val="0"/>
          <w:szCs w:val="20"/>
          <w:lang w:eastAsia="en-GB"/>
        </w:rPr>
      </w:pPr>
      <w:r w:rsidRPr="000458FE">
        <w:rPr>
          <w:rFonts w:ascii="Arial" w:eastAsia="Times" w:hAnsi="Arial" w:cs="Arial"/>
          <w:b/>
          <w:noProof w:val="0"/>
          <w:kern w:val="0"/>
          <w:szCs w:val="20"/>
          <w:lang w:eastAsia="en-GB"/>
        </w:rPr>
        <w:t>FIGURE 3</w:t>
      </w:r>
      <w:r>
        <w:rPr>
          <w:rFonts w:ascii="Arial" w:eastAsia="Times" w:hAnsi="Arial" w:cs="Arial"/>
          <w:noProof w:val="0"/>
          <w:kern w:val="0"/>
          <w:szCs w:val="20"/>
          <w:lang w:eastAsia="en-GB"/>
        </w:rPr>
        <w:t>.</w:t>
      </w:r>
      <w:r w:rsidRPr="000458FE">
        <w:rPr>
          <w:rFonts w:ascii="Arial" w:eastAsia="Times" w:hAnsi="Arial" w:cs="Arial"/>
          <w:noProof w:val="0"/>
          <w:kern w:val="0"/>
          <w:szCs w:val="20"/>
          <w:lang w:eastAsia="en-GB"/>
        </w:rPr>
        <w:t xml:space="preserve"> Maximum likelihood phylogenetic tree inferred from the movement protein (MP) sequences of watermelon crinkle leaf-associated virus 1 and watermelon crinkle leaf-associated virus 2 (blue arrows), and of representative plant-infecting viruses of the genera </w:t>
      </w:r>
      <w:r w:rsidRPr="000458FE">
        <w:rPr>
          <w:rFonts w:ascii="Arial" w:eastAsia="Times" w:hAnsi="Arial" w:cs="Arial"/>
          <w:i/>
          <w:noProof w:val="0"/>
          <w:kern w:val="0"/>
          <w:szCs w:val="20"/>
          <w:lang w:eastAsia="en-GB"/>
        </w:rPr>
        <w:t>Coguvirus, Emaravirus</w:t>
      </w:r>
      <w:r w:rsidRPr="000458FE">
        <w:rPr>
          <w:rFonts w:ascii="Arial" w:eastAsia="Times" w:hAnsi="Arial" w:cs="Arial"/>
          <w:noProof w:val="0"/>
          <w:kern w:val="0"/>
          <w:szCs w:val="20"/>
          <w:lang w:eastAsia="en-GB"/>
        </w:rPr>
        <w:t xml:space="preserve"> (family </w:t>
      </w:r>
      <w:r w:rsidRPr="000458FE">
        <w:rPr>
          <w:rFonts w:ascii="Arial" w:eastAsia="Times" w:hAnsi="Arial" w:cs="Arial"/>
          <w:i/>
          <w:noProof w:val="0"/>
          <w:kern w:val="0"/>
          <w:szCs w:val="20"/>
          <w:lang w:eastAsia="en-GB"/>
        </w:rPr>
        <w:t>Fimoviridae</w:t>
      </w:r>
      <w:r w:rsidRPr="000458FE">
        <w:rPr>
          <w:rFonts w:ascii="Arial" w:eastAsia="Times" w:hAnsi="Arial" w:cs="Arial"/>
          <w:noProof w:val="0"/>
          <w:kern w:val="0"/>
          <w:szCs w:val="20"/>
          <w:lang w:eastAsia="en-GB"/>
        </w:rPr>
        <w:t xml:space="preserve">), </w:t>
      </w:r>
      <w:r w:rsidRPr="000458FE">
        <w:rPr>
          <w:rFonts w:ascii="Arial" w:eastAsia="Times" w:hAnsi="Arial" w:cs="Arial"/>
          <w:i/>
          <w:noProof w:val="0"/>
          <w:kern w:val="0"/>
          <w:szCs w:val="20"/>
          <w:lang w:eastAsia="en-GB"/>
        </w:rPr>
        <w:t>Ophiovirus</w:t>
      </w:r>
      <w:r w:rsidRPr="000458FE">
        <w:rPr>
          <w:rFonts w:ascii="Arial" w:eastAsia="Times" w:hAnsi="Arial" w:cs="Arial"/>
          <w:noProof w:val="0"/>
          <w:kern w:val="0"/>
          <w:szCs w:val="20"/>
          <w:lang w:eastAsia="en-GB"/>
        </w:rPr>
        <w:t xml:space="preserve"> (family </w:t>
      </w:r>
      <w:r w:rsidRPr="000458FE">
        <w:rPr>
          <w:rFonts w:ascii="Arial" w:eastAsia="Times" w:hAnsi="Arial" w:cs="Arial"/>
          <w:i/>
          <w:noProof w:val="0"/>
          <w:kern w:val="0"/>
          <w:szCs w:val="20"/>
          <w:lang w:eastAsia="en-GB"/>
        </w:rPr>
        <w:t>Aspiviridae</w:t>
      </w:r>
      <w:r w:rsidRPr="000458FE">
        <w:rPr>
          <w:rFonts w:ascii="Arial" w:eastAsia="Times" w:hAnsi="Arial" w:cs="Arial"/>
          <w:noProof w:val="0"/>
          <w:kern w:val="0"/>
          <w:szCs w:val="20"/>
          <w:lang w:eastAsia="en-GB"/>
        </w:rPr>
        <w:t xml:space="preserve">), </w:t>
      </w:r>
      <w:r w:rsidRPr="000D7CAD">
        <w:rPr>
          <w:rFonts w:ascii="Arial" w:eastAsia="Times" w:hAnsi="Arial" w:cs="Arial"/>
          <w:i/>
          <w:iCs/>
          <w:noProof w:val="0"/>
          <w:kern w:val="0"/>
          <w:szCs w:val="20"/>
          <w:lang w:eastAsia="en-GB"/>
        </w:rPr>
        <w:t>Orthotospovirus</w:t>
      </w:r>
      <w:r w:rsidRPr="000458FE">
        <w:rPr>
          <w:rFonts w:ascii="Arial" w:eastAsia="Times" w:hAnsi="Arial" w:cs="Arial"/>
          <w:noProof w:val="0"/>
          <w:kern w:val="0"/>
          <w:szCs w:val="20"/>
          <w:lang w:eastAsia="en-GB"/>
        </w:rPr>
        <w:t xml:space="preserve"> (family </w:t>
      </w:r>
      <w:r w:rsidRPr="000458FE">
        <w:rPr>
          <w:rFonts w:ascii="Arial" w:eastAsia="Times" w:hAnsi="Arial" w:cs="Arial"/>
          <w:i/>
          <w:noProof w:val="0"/>
          <w:kern w:val="0"/>
          <w:szCs w:val="20"/>
          <w:lang w:eastAsia="en-GB"/>
        </w:rPr>
        <w:t>Tospoviridae</w:t>
      </w:r>
      <w:r w:rsidRPr="000458FE">
        <w:rPr>
          <w:rFonts w:ascii="Arial" w:eastAsia="Times" w:hAnsi="Arial" w:cs="Arial"/>
          <w:noProof w:val="0"/>
          <w:kern w:val="0"/>
          <w:szCs w:val="20"/>
          <w:lang w:eastAsia="en-GB"/>
        </w:rPr>
        <w:t xml:space="preserve">), </w:t>
      </w:r>
      <w:r w:rsidRPr="000458FE">
        <w:rPr>
          <w:rFonts w:ascii="Arial" w:eastAsia="Times" w:hAnsi="Arial" w:cs="Arial"/>
          <w:i/>
          <w:noProof w:val="0"/>
          <w:kern w:val="0"/>
          <w:szCs w:val="20"/>
          <w:lang w:eastAsia="en-GB"/>
        </w:rPr>
        <w:t>Tenuivirus</w:t>
      </w:r>
      <w:r w:rsidR="000D7CAD">
        <w:rPr>
          <w:rFonts w:ascii="Arial" w:eastAsia="Times" w:hAnsi="Arial" w:cs="Arial"/>
          <w:iCs/>
          <w:noProof w:val="0"/>
          <w:kern w:val="0"/>
          <w:szCs w:val="20"/>
          <w:lang w:eastAsia="en-GB"/>
        </w:rPr>
        <w:t>,</w:t>
      </w:r>
      <w:r w:rsidRPr="000458FE">
        <w:rPr>
          <w:rFonts w:ascii="Arial" w:eastAsia="Times" w:hAnsi="Arial" w:cs="Arial"/>
          <w:i/>
          <w:noProof w:val="0"/>
          <w:kern w:val="0"/>
          <w:szCs w:val="20"/>
          <w:lang w:eastAsia="en-GB"/>
        </w:rPr>
        <w:t xml:space="preserve"> </w:t>
      </w:r>
      <w:r>
        <w:rPr>
          <w:rFonts w:ascii="Arial" w:eastAsia="Times" w:hAnsi="Arial" w:cs="Arial"/>
          <w:noProof w:val="0"/>
          <w:kern w:val="0"/>
          <w:szCs w:val="20"/>
          <w:lang w:eastAsia="en-GB"/>
        </w:rPr>
        <w:t xml:space="preserve">and </w:t>
      </w:r>
      <w:r w:rsidRPr="000458FE">
        <w:rPr>
          <w:rFonts w:ascii="Arial" w:eastAsia="Times" w:hAnsi="Arial" w:cs="Arial"/>
          <w:i/>
          <w:noProof w:val="0"/>
          <w:kern w:val="0"/>
          <w:szCs w:val="20"/>
          <w:lang w:eastAsia="en-GB"/>
        </w:rPr>
        <w:t>Rubodvirus</w:t>
      </w:r>
      <w:r w:rsidRPr="000458FE">
        <w:rPr>
          <w:rFonts w:ascii="Arial" w:eastAsia="Times" w:hAnsi="Arial" w:cs="Arial"/>
          <w:noProof w:val="0"/>
          <w:kern w:val="0"/>
          <w:szCs w:val="20"/>
          <w:lang w:eastAsia="en-GB"/>
        </w:rPr>
        <w:t xml:space="preserve"> (family </w:t>
      </w:r>
      <w:r w:rsidRPr="000458FE">
        <w:rPr>
          <w:rFonts w:ascii="Arial" w:eastAsia="Times" w:hAnsi="Arial" w:cs="Arial"/>
          <w:i/>
          <w:noProof w:val="0"/>
          <w:kern w:val="0"/>
          <w:szCs w:val="20"/>
          <w:lang w:eastAsia="en-GB"/>
        </w:rPr>
        <w:t>Phenuiviridae</w:t>
      </w:r>
      <w:r w:rsidRPr="000458FE">
        <w:rPr>
          <w:rFonts w:ascii="Arial" w:eastAsia="Times" w:hAnsi="Arial" w:cs="Arial"/>
          <w:noProof w:val="0"/>
          <w:kern w:val="0"/>
          <w:szCs w:val="20"/>
          <w:lang w:eastAsia="en-GB"/>
        </w:rPr>
        <w:t xml:space="preserve">), </w:t>
      </w:r>
      <w:r w:rsidR="000D7CAD">
        <w:rPr>
          <w:rFonts w:ascii="Arial" w:eastAsia="Times" w:hAnsi="Arial" w:cs="Arial"/>
          <w:noProof w:val="0"/>
          <w:kern w:val="0"/>
          <w:szCs w:val="20"/>
          <w:lang w:eastAsia="en-GB"/>
        </w:rPr>
        <w:t xml:space="preserve">and </w:t>
      </w:r>
      <w:r w:rsidRPr="000458FE">
        <w:rPr>
          <w:rFonts w:ascii="Arial" w:eastAsia="Times" w:hAnsi="Arial" w:cs="Arial"/>
          <w:i/>
          <w:noProof w:val="0"/>
          <w:kern w:val="0"/>
          <w:szCs w:val="20"/>
          <w:lang w:eastAsia="en-GB"/>
        </w:rPr>
        <w:t>Nucleorhabdovirus, Cytorhabdovirus</w:t>
      </w:r>
      <w:r w:rsidRPr="000458FE">
        <w:rPr>
          <w:rFonts w:ascii="Arial" w:eastAsia="Times" w:hAnsi="Arial" w:cs="Arial"/>
          <w:noProof w:val="0"/>
          <w:kern w:val="0"/>
          <w:szCs w:val="20"/>
          <w:lang w:eastAsia="en-GB"/>
        </w:rPr>
        <w:t xml:space="preserve"> and </w:t>
      </w:r>
      <w:r w:rsidRPr="000458FE">
        <w:rPr>
          <w:rFonts w:ascii="Arial" w:eastAsia="Times" w:hAnsi="Arial" w:cs="Arial"/>
          <w:i/>
          <w:noProof w:val="0"/>
          <w:kern w:val="0"/>
          <w:szCs w:val="20"/>
          <w:lang w:eastAsia="en-GB"/>
        </w:rPr>
        <w:t xml:space="preserve">Varicosavirus </w:t>
      </w:r>
      <w:r w:rsidRPr="000458FE">
        <w:rPr>
          <w:rFonts w:ascii="Arial" w:eastAsia="Times" w:hAnsi="Arial" w:cs="Arial"/>
          <w:noProof w:val="0"/>
          <w:kern w:val="0"/>
          <w:szCs w:val="20"/>
          <w:lang w:eastAsia="en-GB"/>
        </w:rPr>
        <w:t xml:space="preserve">(family </w:t>
      </w:r>
      <w:r w:rsidRPr="000458FE">
        <w:rPr>
          <w:rFonts w:ascii="Arial" w:eastAsia="Times" w:hAnsi="Arial" w:cs="Arial"/>
          <w:i/>
          <w:noProof w:val="0"/>
          <w:kern w:val="0"/>
          <w:szCs w:val="20"/>
          <w:lang w:eastAsia="en-GB"/>
        </w:rPr>
        <w:t>Rhabdoviridae</w:t>
      </w:r>
      <w:r w:rsidRPr="000458FE">
        <w:rPr>
          <w:rFonts w:ascii="Arial" w:eastAsia="Times" w:hAnsi="Arial" w:cs="Arial"/>
          <w:noProof w:val="0"/>
          <w:kern w:val="0"/>
          <w:szCs w:val="20"/>
          <w:lang w:eastAsia="en-GB"/>
        </w:rPr>
        <w:t>). Information of bootstrap values, distances, and other symbols are as reported in th</w:t>
      </w:r>
      <w:r>
        <w:rPr>
          <w:rFonts w:ascii="Arial" w:eastAsia="Times" w:hAnsi="Arial" w:cs="Arial"/>
          <w:noProof w:val="0"/>
          <w:kern w:val="0"/>
          <w:szCs w:val="20"/>
          <w:lang w:eastAsia="en-GB"/>
        </w:rPr>
        <w:t>e legend to Figure 1</w:t>
      </w:r>
      <w:r w:rsidR="001D1056">
        <w:rPr>
          <w:rFonts w:ascii="Arial" w:eastAsia="Times" w:hAnsi="Arial" w:cs="Arial"/>
          <w:noProof w:val="0"/>
          <w:kern w:val="0"/>
          <w:szCs w:val="20"/>
          <w:lang w:eastAsia="en-GB"/>
        </w:rPr>
        <w:t xml:space="preserve"> </w:t>
      </w:r>
      <w:r w:rsidRPr="00AC40CF">
        <w:rPr>
          <w:rFonts w:ascii="Arial" w:eastAsia="Times" w:hAnsi="Arial" w:cs="Arial"/>
          <w:noProof w:val="0"/>
          <w:kern w:val="0"/>
          <w:szCs w:val="20"/>
          <w:lang w:eastAsia="en-GB"/>
        </w:rPr>
        <w:t xml:space="preserve">(Zhang </w:t>
      </w:r>
      <w:r w:rsidRPr="00412FBE">
        <w:rPr>
          <w:rFonts w:ascii="Arial" w:eastAsia="Times" w:hAnsi="Arial" w:cs="Arial"/>
          <w:noProof w:val="0"/>
          <w:kern w:val="0"/>
          <w:szCs w:val="20"/>
          <w:lang w:eastAsia="en-GB"/>
        </w:rPr>
        <w:t>et al</w:t>
      </w:r>
      <w:r w:rsidR="000D7CAD">
        <w:rPr>
          <w:rFonts w:ascii="Arial" w:eastAsia="Times" w:hAnsi="Arial" w:cs="Arial"/>
          <w:noProof w:val="0"/>
          <w:kern w:val="0"/>
          <w:szCs w:val="20"/>
          <w:lang w:eastAsia="en-GB"/>
        </w:rPr>
        <w:t>.</w:t>
      </w:r>
      <w:r w:rsidRPr="00AC40CF">
        <w:rPr>
          <w:rFonts w:ascii="Arial" w:eastAsia="Times" w:hAnsi="Arial" w:cs="Arial"/>
          <w:noProof w:val="0"/>
          <w:kern w:val="0"/>
          <w:szCs w:val="20"/>
          <w:lang w:eastAsia="en-GB"/>
        </w:rPr>
        <w:t>, 2021)</w:t>
      </w:r>
      <w:r>
        <w:rPr>
          <w:rFonts w:ascii="Arial" w:eastAsia="Times" w:hAnsi="Arial" w:cs="Arial"/>
          <w:noProof w:val="0"/>
          <w:kern w:val="0"/>
          <w:szCs w:val="20"/>
          <w:lang w:eastAsia="en-GB"/>
        </w:rPr>
        <w:t>.</w:t>
      </w:r>
    </w:p>
    <w:p w14:paraId="03F196E3" w14:textId="77777777" w:rsidR="0002326E" w:rsidRPr="000458FE" w:rsidRDefault="0002326E" w:rsidP="0002326E">
      <w:pPr>
        <w:pStyle w:val="EndNoteBibliography"/>
        <w:rPr>
          <w:rFonts w:ascii="Arial" w:eastAsia="Times" w:hAnsi="Arial" w:cs="Arial"/>
          <w:noProof w:val="0"/>
          <w:kern w:val="0"/>
          <w:szCs w:val="20"/>
          <w:lang w:eastAsia="en-GB"/>
        </w:rPr>
      </w:pPr>
    </w:p>
    <w:p w14:paraId="1B5558AD" w14:textId="77777777" w:rsidR="00A174CC" w:rsidRDefault="00A174CC">
      <w:pPr>
        <w:rPr>
          <w:rFonts w:ascii="Arial" w:hAnsi="Arial" w:cs="Arial"/>
          <w:b/>
        </w:rPr>
      </w:pPr>
    </w:p>
    <w:p w14:paraId="3437A237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p w14:paraId="002E1AEE" w14:textId="77777777" w:rsidR="0002326E" w:rsidRPr="004502A4" w:rsidRDefault="0002326E" w:rsidP="0002326E">
      <w:pPr>
        <w:pStyle w:val="EndNoteBibliography"/>
        <w:numPr>
          <w:ilvl w:val="0"/>
          <w:numId w:val="3"/>
        </w:numPr>
        <w:rPr>
          <w:rFonts w:ascii="Arial" w:eastAsia="Times" w:hAnsi="Arial" w:cs="Arial"/>
          <w:noProof w:val="0"/>
          <w:kern w:val="0"/>
          <w:sz w:val="22"/>
          <w:szCs w:val="20"/>
          <w:lang w:eastAsia="en-GB"/>
        </w:rPr>
      </w:pPr>
      <w:r w:rsidRPr="00B80CB3">
        <w:rPr>
          <w:rFonts w:ascii="Arial" w:eastAsia="Times" w:hAnsi="Arial" w:cs="Arial"/>
          <w:noProof w:val="0"/>
          <w:kern w:val="0"/>
          <w:sz w:val="22"/>
          <w:szCs w:val="20"/>
          <w:lang w:eastAsia="en-GB"/>
        </w:rPr>
        <w:t xml:space="preserve">Xin M, Cao M, Liu W et al (2017) Two negative-strand RNA viruses identified in watermelon represent a novel clade in the order </w:t>
      </w:r>
      <w:r w:rsidRPr="000D7CAD">
        <w:rPr>
          <w:rFonts w:ascii="Arial" w:eastAsia="Times" w:hAnsi="Arial" w:cs="Arial"/>
          <w:i/>
          <w:iCs/>
          <w:noProof w:val="0"/>
          <w:kern w:val="0"/>
          <w:sz w:val="22"/>
          <w:szCs w:val="20"/>
          <w:lang w:eastAsia="en-GB"/>
        </w:rPr>
        <w:t>Bunyavirales</w:t>
      </w:r>
      <w:r w:rsidRPr="00B80CB3">
        <w:rPr>
          <w:rFonts w:ascii="Arial" w:eastAsia="Times" w:hAnsi="Arial" w:cs="Arial"/>
          <w:noProof w:val="0"/>
          <w:kern w:val="0"/>
          <w:sz w:val="22"/>
          <w:szCs w:val="20"/>
          <w:lang w:eastAsia="en-GB"/>
        </w:rPr>
        <w:t>. Front Microbiol 8: 1514.</w:t>
      </w:r>
      <w:r>
        <w:rPr>
          <w:rFonts w:ascii="Arial" w:eastAsia="Times" w:hAnsi="Arial" w:cs="Arial"/>
          <w:noProof w:val="0"/>
          <w:kern w:val="0"/>
          <w:sz w:val="22"/>
          <w:szCs w:val="20"/>
          <w:lang w:eastAsia="en-GB"/>
        </w:rPr>
        <w:t xml:space="preserve"> </w:t>
      </w:r>
      <w:r w:rsidRPr="004502A4">
        <w:rPr>
          <w:rFonts w:ascii="Arial" w:eastAsia="Times" w:hAnsi="Arial" w:cs="Arial"/>
          <w:noProof w:val="0"/>
          <w:kern w:val="0"/>
          <w:sz w:val="22"/>
          <w:szCs w:val="20"/>
          <w:lang w:eastAsia="en-GB"/>
        </w:rPr>
        <w:t>doi: 10.3389/fmicb.2017.01514. PMID: 28848524; PMCID: PMC5552725.</w:t>
      </w:r>
    </w:p>
    <w:p w14:paraId="03CBDE1A" w14:textId="77777777" w:rsidR="0002326E" w:rsidRPr="00B80CB3" w:rsidRDefault="0002326E" w:rsidP="0002326E">
      <w:pPr>
        <w:pStyle w:val="EndNoteBibliography"/>
        <w:numPr>
          <w:ilvl w:val="0"/>
          <w:numId w:val="3"/>
        </w:numPr>
        <w:rPr>
          <w:rFonts w:ascii="Arial" w:eastAsia="Times" w:hAnsi="Arial" w:cs="Arial"/>
          <w:noProof w:val="0"/>
          <w:kern w:val="0"/>
          <w:sz w:val="22"/>
          <w:szCs w:val="20"/>
          <w:lang w:eastAsia="en-GB"/>
        </w:rPr>
      </w:pPr>
      <w:r w:rsidRPr="00B80CB3">
        <w:rPr>
          <w:rFonts w:ascii="Arial" w:eastAsia="Times" w:hAnsi="Arial" w:cs="Arial"/>
          <w:noProof w:val="0"/>
          <w:kern w:val="0"/>
          <w:sz w:val="22"/>
          <w:szCs w:val="20"/>
          <w:lang w:eastAsia="en-GB"/>
        </w:rPr>
        <w:t>Navarro B, Minutolo M, De Stradis A et al (2018a) The first phlebo</w:t>
      </w:r>
      <w:r w:rsidRPr="00B80CB3">
        <w:rPr>
          <w:rFonts w:ascii="Cambria Math" w:eastAsia="Times" w:hAnsi="Cambria Math" w:cs="Cambria Math"/>
          <w:noProof w:val="0"/>
          <w:kern w:val="0"/>
          <w:sz w:val="22"/>
          <w:szCs w:val="20"/>
          <w:lang w:eastAsia="en-GB"/>
        </w:rPr>
        <w:t>‐</w:t>
      </w:r>
      <w:r w:rsidRPr="00B80CB3">
        <w:rPr>
          <w:rFonts w:ascii="Arial" w:eastAsia="Times" w:hAnsi="Arial" w:cs="Arial"/>
          <w:noProof w:val="0"/>
          <w:kern w:val="0"/>
          <w:sz w:val="22"/>
          <w:szCs w:val="20"/>
          <w:lang w:eastAsia="en-GB"/>
        </w:rPr>
        <w:t>like virus infecting plants: a case study on the adaptation of negative</w:t>
      </w:r>
      <w:r w:rsidRPr="00B80CB3">
        <w:rPr>
          <w:rFonts w:ascii="Cambria Math" w:eastAsia="Times" w:hAnsi="Cambria Math" w:cs="Cambria Math"/>
          <w:noProof w:val="0"/>
          <w:kern w:val="0"/>
          <w:sz w:val="22"/>
          <w:szCs w:val="20"/>
          <w:lang w:eastAsia="en-GB"/>
        </w:rPr>
        <w:t>‐</w:t>
      </w:r>
      <w:r w:rsidRPr="00B80CB3">
        <w:rPr>
          <w:rFonts w:ascii="Arial" w:eastAsia="Times" w:hAnsi="Arial" w:cs="Arial"/>
          <w:noProof w:val="0"/>
          <w:kern w:val="0"/>
          <w:sz w:val="22"/>
          <w:szCs w:val="20"/>
          <w:lang w:eastAsia="en-GB"/>
        </w:rPr>
        <w:t>stranded RNA viruses to new hosts. Mol Plant Pathol 19: 1075–1089.</w:t>
      </w:r>
      <w:r>
        <w:rPr>
          <w:rFonts w:ascii="Arial" w:eastAsia="Times" w:hAnsi="Arial" w:cs="Arial"/>
          <w:noProof w:val="0"/>
          <w:kern w:val="0"/>
          <w:sz w:val="22"/>
          <w:szCs w:val="20"/>
          <w:lang w:eastAsia="en-GB"/>
        </w:rPr>
        <w:t xml:space="preserve"> </w:t>
      </w:r>
      <w:r w:rsidRPr="004502A4">
        <w:rPr>
          <w:rFonts w:ascii="Arial" w:eastAsia="Times" w:hAnsi="Arial" w:cs="Arial"/>
          <w:noProof w:val="0"/>
          <w:kern w:val="0"/>
          <w:sz w:val="22"/>
          <w:szCs w:val="20"/>
          <w:lang w:eastAsia="en-GB"/>
        </w:rPr>
        <w:t>doi: 10.1111/mpp.12587. PMID: 28752569; PMCID: PMC6637980</w:t>
      </w:r>
      <w:r>
        <w:rPr>
          <w:rFonts w:ascii="Arial" w:eastAsia="Times" w:hAnsi="Arial" w:cs="Arial"/>
          <w:noProof w:val="0"/>
          <w:kern w:val="0"/>
          <w:sz w:val="22"/>
          <w:szCs w:val="20"/>
          <w:lang w:eastAsia="en-GB"/>
        </w:rPr>
        <w:t>.</w:t>
      </w:r>
    </w:p>
    <w:p w14:paraId="3F14436B" w14:textId="77777777" w:rsidR="0002326E" w:rsidRDefault="0002326E" w:rsidP="0002326E">
      <w:pPr>
        <w:pStyle w:val="EndNoteBibliography"/>
        <w:numPr>
          <w:ilvl w:val="0"/>
          <w:numId w:val="3"/>
        </w:numPr>
        <w:rPr>
          <w:rFonts w:ascii="Arial" w:eastAsia="Times" w:hAnsi="Arial" w:cs="Arial"/>
          <w:noProof w:val="0"/>
          <w:kern w:val="0"/>
          <w:sz w:val="22"/>
          <w:szCs w:val="20"/>
          <w:lang w:eastAsia="en-GB"/>
        </w:rPr>
      </w:pPr>
      <w:r w:rsidRPr="00B80CB3">
        <w:rPr>
          <w:rFonts w:ascii="Arial" w:eastAsia="Times" w:hAnsi="Arial" w:cs="Arial"/>
          <w:noProof w:val="0"/>
          <w:kern w:val="0"/>
          <w:sz w:val="22"/>
          <w:szCs w:val="20"/>
          <w:lang w:eastAsia="en-GB"/>
        </w:rPr>
        <w:t xml:space="preserve">Navarro B, Zicca S, Minutolo M et al (2018b) A negative-stranded RNA virus infecting citrus trees: the second member of a new genus within the order </w:t>
      </w:r>
      <w:r w:rsidRPr="00B80CB3">
        <w:rPr>
          <w:rFonts w:ascii="Arial" w:eastAsia="Times" w:hAnsi="Arial" w:cs="Arial"/>
          <w:i/>
          <w:noProof w:val="0"/>
          <w:kern w:val="0"/>
          <w:sz w:val="22"/>
          <w:szCs w:val="20"/>
          <w:lang w:eastAsia="en-GB"/>
        </w:rPr>
        <w:t>Bunyavirales.</w:t>
      </w:r>
      <w:r w:rsidRPr="00B80CB3">
        <w:rPr>
          <w:rFonts w:ascii="Arial" w:eastAsia="Times" w:hAnsi="Arial" w:cs="Arial"/>
          <w:noProof w:val="0"/>
          <w:kern w:val="0"/>
          <w:sz w:val="22"/>
          <w:szCs w:val="20"/>
          <w:lang w:eastAsia="en-GB"/>
        </w:rPr>
        <w:t xml:space="preserve"> Front Microbiol 9: 2340.</w:t>
      </w:r>
      <w:r>
        <w:rPr>
          <w:rFonts w:ascii="Arial" w:eastAsia="Times" w:hAnsi="Arial" w:cs="Arial"/>
          <w:noProof w:val="0"/>
          <w:kern w:val="0"/>
          <w:sz w:val="22"/>
          <w:szCs w:val="20"/>
          <w:lang w:eastAsia="en-GB"/>
        </w:rPr>
        <w:t xml:space="preserve"> </w:t>
      </w:r>
      <w:r w:rsidRPr="004502A4">
        <w:rPr>
          <w:rFonts w:ascii="Arial" w:eastAsia="Times" w:hAnsi="Arial" w:cs="Arial"/>
          <w:noProof w:val="0"/>
          <w:kern w:val="0"/>
          <w:sz w:val="22"/>
          <w:szCs w:val="20"/>
          <w:lang w:eastAsia="en-GB"/>
        </w:rPr>
        <w:t>doi: 10.3389/fmicb.2018.02340. PMID: 30333811; PMCID: PMC6176071</w:t>
      </w:r>
      <w:r>
        <w:rPr>
          <w:rFonts w:ascii="Arial" w:eastAsia="Times" w:hAnsi="Arial" w:cs="Arial"/>
          <w:noProof w:val="0"/>
          <w:kern w:val="0"/>
          <w:sz w:val="22"/>
          <w:szCs w:val="20"/>
          <w:lang w:eastAsia="en-GB"/>
        </w:rPr>
        <w:t>.</w:t>
      </w:r>
    </w:p>
    <w:p w14:paraId="076B3C06" w14:textId="4676639C" w:rsidR="0002326E" w:rsidRDefault="0002326E" w:rsidP="0002326E">
      <w:pPr>
        <w:pStyle w:val="EndNoteBibliography"/>
        <w:numPr>
          <w:ilvl w:val="0"/>
          <w:numId w:val="3"/>
        </w:numPr>
        <w:rPr>
          <w:rFonts w:ascii="Arial" w:eastAsia="Times" w:hAnsi="Arial" w:cs="Arial"/>
          <w:noProof w:val="0"/>
          <w:kern w:val="0"/>
          <w:sz w:val="22"/>
          <w:szCs w:val="20"/>
          <w:lang w:eastAsia="en-GB"/>
        </w:rPr>
      </w:pPr>
      <w:r>
        <w:rPr>
          <w:rFonts w:ascii="Arial" w:eastAsia="Times" w:hAnsi="Arial" w:cs="Arial"/>
          <w:sz w:val="22"/>
          <w:szCs w:val="20"/>
          <w:lang w:eastAsia="en-GB"/>
        </w:rPr>
        <w:t xml:space="preserve">Zhang S, Tian X, Navarro B, Di Serio F, Cao M (2021). </w:t>
      </w:r>
      <w:r w:rsidR="000D7CAD" w:rsidRPr="000D7CAD">
        <w:rPr>
          <w:rFonts w:ascii="Arial" w:eastAsia="Times" w:hAnsi="Arial" w:cs="Arial"/>
          <w:sz w:val="22"/>
          <w:szCs w:val="20"/>
          <w:lang w:eastAsia="en-GB"/>
        </w:rPr>
        <w:t xml:space="preserve">Watermelon crinkle leaf-associated virus 1 and watermelon crinkle leaf-associated virus 2 have a bipartite genome with molecular signatures typical of the members of the genus </w:t>
      </w:r>
      <w:r w:rsidR="000D7CAD" w:rsidRPr="000D7CAD">
        <w:rPr>
          <w:rFonts w:ascii="Arial" w:eastAsia="Times" w:hAnsi="Arial" w:cs="Arial"/>
          <w:i/>
          <w:iCs/>
          <w:sz w:val="22"/>
          <w:szCs w:val="20"/>
          <w:lang w:eastAsia="en-GB"/>
        </w:rPr>
        <w:t>Coguvirus</w:t>
      </w:r>
      <w:r w:rsidR="000D7CAD" w:rsidRPr="000D7CAD">
        <w:rPr>
          <w:rFonts w:ascii="Arial" w:eastAsia="Times" w:hAnsi="Arial" w:cs="Arial"/>
          <w:sz w:val="22"/>
          <w:szCs w:val="20"/>
          <w:lang w:eastAsia="en-GB"/>
        </w:rPr>
        <w:t xml:space="preserve"> (family </w:t>
      </w:r>
      <w:r w:rsidR="000D7CAD" w:rsidRPr="000D7CAD">
        <w:rPr>
          <w:rFonts w:ascii="Arial" w:eastAsia="Times" w:hAnsi="Arial" w:cs="Arial"/>
          <w:i/>
          <w:iCs/>
          <w:sz w:val="22"/>
          <w:szCs w:val="20"/>
          <w:lang w:eastAsia="en-GB"/>
        </w:rPr>
        <w:t>Phenuiviridae</w:t>
      </w:r>
      <w:r w:rsidR="000D7CAD" w:rsidRPr="000D7CAD">
        <w:rPr>
          <w:rFonts w:ascii="Arial" w:eastAsia="Times" w:hAnsi="Arial" w:cs="Arial"/>
          <w:sz w:val="22"/>
          <w:szCs w:val="20"/>
          <w:lang w:eastAsia="en-GB"/>
        </w:rPr>
        <w:t>)</w:t>
      </w:r>
      <w:r>
        <w:rPr>
          <w:rFonts w:ascii="Arial" w:eastAsia="Times" w:hAnsi="Arial" w:cs="Arial"/>
          <w:sz w:val="22"/>
          <w:szCs w:val="20"/>
          <w:lang w:eastAsia="en-GB"/>
        </w:rPr>
        <w:t xml:space="preserve">. </w:t>
      </w:r>
      <w:r>
        <w:rPr>
          <w:rFonts w:ascii="Arial" w:eastAsia="Times" w:hAnsi="Arial" w:cs="Arial"/>
          <w:noProof w:val="0"/>
          <w:kern w:val="0"/>
          <w:sz w:val="22"/>
          <w:szCs w:val="20"/>
          <w:lang w:eastAsia="en-GB"/>
        </w:rPr>
        <w:t>Arch</w:t>
      </w:r>
      <w:r w:rsidR="000D7CAD">
        <w:rPr>
          <w:rFonts w:ascii="Arial" w:eastAsia="Times" w:hAnsi="Arial" w:cs="Arial"/>
          <w:noProof w:val="0"/>
          <w:kern w:val="0"/>
          <w:sz w:val="22"/>
          <w:szCs w:val="20"/>
          <w:lang w:eastAsia="en-GB"/>
        </w:rPr>
        <w:t xml:space="preserve"> Virol </w:t>
      </w:r>
      <w:r w:rsidR="000D7CAD" w:rsidRPr="000D7CAD">
        <w:rPr>
          <w:rFonts w:ascii="Arial" w:eastAsia="Times" w:hAnsi="Arial" w:cs="Arial"/>
          <w:noProof w:val="0"/>
          <w:kern w:val="0"/>
          <w:sz w:val="22"/>
          <w:szCs w:val="20"/>
          <w:lang w:eastAsia="en-GB"/>
        </w:rPr>
        <w:t>166</w:t>
      </w:r>
      <w:r w:rsidR="000D7CAD">
        <w:rPr>
          <w:rFonts w:ascii="Arial" w:eastAsia="Times" w:hAnsi="Arial" w:cs="Arial"/>
          <w:noProof w:val="0"/>
          <w:kern w:val="0"/>
          <w:sz w:val="22"/>
          <w:szCs w:val="20"/>
          <w:lang w:eastAsia="en-GB"/>
        </w:rPr>
        <w:t xml:space="preserve">: </w:t>
      </w:r>
      <w:r w:rsidR="000D7CAD" w:rsidRPr="000D7CAD">
        <w:rPr>
          <w:rFonts w:ascii="Arial" w:eastAsia="Times" w:hAnsi="Arial" w:cs="Arial"/>
          <w:noProof w:val="0"/>
          <w:kern w:val="0"/>
          <w:sz w:val="22"/>
          <w:szCs w:val="20"/>
          <w:lang w:eastAsia="en-GB"/>
        </w:rPr>
        <w:t>2829–2834</w:t>
      </w:r>
      <w:r>
        <w:rPr>
          <w:rFonts w:ascii="Arial" w:eastAsia="Times" w:hAnsi="Arial" w:cs="Arial"/>
          <w:noProof w:val="0"/>
          <w:kern w:val="0"/>
          <w:sz w:val="22"/>
          <w:szCs w:val="20"/>
          <w:lang w:eastAsia="en-GB"/>
        </w:rPr>
        <w:t>.</w:t>
      </w:r>
      <w:r w:rsidR="000D7CAD">
        <w:rPr>
          <w:rFonts w:ascii="Arial" w:eastAsia="Times" w:hAnsi="Arial" w:cs="Arial"/>
          <w:noProof w:val="0"/>
          <w:kern w:val="0"/>
          <w:sz w:val="22"/>
          <w:szCs w:val="20"/>
          <w:lang w:eastAsia="en-GB"/>
        </w:rPr>
        <w:t xml:space="preserve"> doi:</w:t>
      </w:r>
      <w:r w:rsidR="000D7CAD" w:rsidRPr="000D7CAD">
        <w:t xml:space="preserve"> </w:t>
      </w:r>
      <w:r w:rsidR="000D7CAD" w:rsidRPr="000D7CAD">
        <w:rPr>
          <w:rFonts w:ascii="Arial" w:eastAsia="Times" w:hAnsi="Arial" w:cs="Arial"/>
          <w:noProof w:val="0"/>
          <w:kern w:val="0"/>
          <w:sz w:val="22"/>
          <w:szCs w:val="20"/>
          <w:lang w:eastAsia="en-GB"/>
        </w:rPr>
        <w:t>10.1007/s00705-021-05181-0</w:t>
      </w:r>
      <w:r w:rsidR="000D7CAD">
        <w:rPr>
          <w:rFonts w:ascii="Arial" w:eastAsia="Times" w:hAnsi="Arial" w:cs="Arial"/>
          <w:noProof w:val="0"/>
          <w:kern w:val="0"/>
          <w:sz w:val="22"/>
          <w:szCs w:val="20"/>
          <w:lang w:eastAsia="en-GB"/>
        </w:rPr>
        <w:t xml:space="preserve">. </w:t>
      </w:r>
      <w:r w:rsidR="000D7CAD" w:rsidRPr="000D7CAD">
        <w:rPr>
          <w:rFonts w:ascii="Arial" w:eastAsia="Times" w:hAnsi="Arial" w:cs="Arial"/>
          <w:noProof w:val="0"/>
          <w:kern w:val="0"/>
          <w:sz w:val="22"/>
          <w:szCs w:val="20"/>
          <w:lang w:eastAsia="en-GB"/>
        </w:rPr>
        <w:t>PMID: 34319452</w:t>
      </w:r>
      <w:r w:rsidR="000D7CAD">
        <w:rPr>
          <w:rFonts w:ascii="Arial" w:eastAsia="Times" w:hAnsi="Arial" w:cs="Arial"/>
          <w:noProof w:val="0"/>
          <w:kern w:val="0"/>
          <w:sz w:val="22"/>
          <w:szCs w:val="20"/>
          <w:lang w:eastAsia="en-GB"/>
        </w:rPr>
        <w:t>.</w:t>
      </w:r>
    </w:p>
    <w:p w14:paraId="37EA5ED6" w14:textId="77777777" w:rsidR="0002326E" w:rsidRPr="004502A4" w:rsidRDefault="0002326E" w:rsidP="0002326E">
      <w:pPr>
        <w:pStyle w:val="EndNoteBibliography"/>
        <w:rPr>
          <w:rFonts w:ascii="Arial" w:eastAsia="Times" w:hAnsi="Arial" w:cs="Arial"/>
          <w:noProof w:val="0"/>
          <w:kern w:val="0"/>
          <w:sz w:val="22"/>
          <w:szCs w:val="20"/>
          <w:lang w:eastAsia="en-GB"/>
        </w:rPr>
      </w:pPr>
    </w:p>
    <w:p w14:paraId="5556E8C1" w14:textId="432BBE3E" w:rsidR="00A174CC" w:rsidRDefault="00A174CC"/>
    <w:sectPr w:rsidR="00A174CC">
      <w:headerReference w:type="default" r:id="rId11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CA096" w14:textId="77777777" w:rsidR="00CA749F" w:rsidRDefault="00CA749F">
      <w:r>
        <w:separator/>
      </w:r>
    </w:p>
  </w:endnote>
  <w:endnote w:type="continuationSeparator" w:id="0">
    <w:p w14:paraId="45E0F904" w14:textId="77777777" w:rsidR="00CA749F" w:rsidRDefault="00CA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DDF5B" w14:textId="77777777" w:rsidR="00CA749F" w:rsidRDefault="00CA749F">
      <w:r>
        <w:separator/>
      </w:r>
    </w:p>
  </w:footnote>
  <w:footnote w:type="continuationSeparator" w:id="0">
    <w:p w14:paraId="66FE1E84" w14:textId="77777777" w:rsidR="00CA749F" w:rsidRDefault="00CA7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BDB6217" w:rsidR="00A174CC" w:rsidRDefault="00FF4171">
    <w:pPr>
      <w:pStyle w:val="Header"/>
      <w:jc w:val="right"/>
    </w:pPr>
    <w:r>
      <w:t>October</w:t>
    </w:r>
    <w:r w:rsidR="008815EE">
      <w:t xml:space="preserve"> 202</w:t>
    </w:r>
    <w:r>
      <w:t>1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C2B18BA"/>
    <w:multiLevelType w:val="hybridMultilevel"/>
    <w:tmpl w:val="BFA4664A"/>
    <w:lvl w:ilvl="0" w:tplc="8012A52C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69841173">
    <w:abstractNumId w:val="0"/>
  </w:num>
  <w:num w:numId="2" w16cid:durableId="562643629">
    <w:abstractNumId w:val="2"/>
  </w:num>
  <w:num w:numId="3" w16cid:durableId="613563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9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4CC"/>
    <w:rsid w:val="0002326E"/>
    <w:rsid w:val="00035A87"/>
    <w:rsid w:val="000A146A"/>
    <w:rsid w:val="000D7CAD"/>
    <w:rsid w:val="000F51F4"/>
    <w:rsid w:val="000F7067"/>
    <w:rsid w:val="0013113D"/>
    <w:rsid w:val="001A211D"/>
    <w:rsid w:val="001D1056"/>
    <w:rsid w:val="00200177"/>
    <w:rsid w:val="0035490D"/>
    <w:rsid w:val="0037243A"/>
    <w:rsid w:val="00383F8E"/>
    <w:rsid w:val="00412FBE"/>
    <w:rsid w:val="0043110C"/>
    <w:rsid w:val="004954E4"/>
    <w:rsid w:val="004F3196"/>
    <w:rsid w:val="00543F86"/>
    <w:rsid w:val="00547987"/>
    <w:rsid w:val="005557FC"/>
    <w:rsid w:val="005A43B7"/>
    <w:rsid w:val="005A54C3"/>
    <w:rsid w:val="007B6276"/>
    <w:rsid w:val="008815EE"/>
    <w:rsid w:val="00A174CC"/>
    <w:rsid w:val="00A22274"/>
    <w:rsid w:val="00A22288"/>
    <w:rsid w:val="00A2357C"/>
    <w:rsid w:val="00AD759B"/>
    <w:rsid w:val="00AF4021"/>
    <w:rsid w:val="00B35CC8"/>
    <w:rsid w:val="00B47589"/>
    <w:rsid w:val="00C024CC"/>
    <w:rsid w:val="00C14910"/>
    <w:rsid w:val="00C61BF8"/>
    <w:rsid w:val="00CA749F"/>
    <w:rsid w:val="00D1275B"/>
    <w:rsid w:val="00D90437"/>
    <w:rsid w:val="00F977C8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02326E"/>
    <w:rPr>
      <w:color w:val="0563C1" w:themeColor="hyperlink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02326E"/>
    <w:pPr>
      <w:widowControl w:val="0"/>
      <w:jc w:val="both"/>
    </w:pPr>
    <w:rPr>
      <w:rFonts w:ascii="Calibri" w:eastAsia="SimSun" w:hAnsi="Calibri"/>
      <w:noProof/>
      <w:kern w:val="2"/>
      <w:sz w:val="20"/>
      <w:szCs w:val="22"/>
      <w:lang w:eastAsia="zh-CN"/>
    </w:rPr>
  </w:style>
  <w:style w:type="character" w:customStyle="1" w:styleId="EndNoteBibliographyChar">
    <w:name w:val="EndNote Bibliography Char"/>
    <w:link w:val="EndNoteBibliography"/>
    <w:rsid w:val="0002326E"/>
    <w:rPr>
      <w:rFonts w:ascii="Calibri" w:eastAsia="SimSun" w:hAnsi="Calibri" w:cs="Times New Roman"/>
      <w:noProof/>
      <w:kern w:val="2"/>
      <w:sz w:val="20"/>
      <w:szCs w:val="22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47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6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1185</Words>
  <Characters>6756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Reviewer</cp:lastModifiedBy>
  <cp:revision>13</cp:revision>
  <dcterms:created xsi:type="dcterms:W3CDTF">2022-04-21T11:35:00Z</dcterms:created>
  <dcterms:modified xsi:type="dcterms:W3CDTF">2022-06-12T23:13:00Z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